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83D15" w:rsidRDefault="00683D15">
      <w:pPr>
        <w:jc w:val="center"/>
        <w:rPr>
          <w:b/>
          <w:bCs/>
          <w:color w:val="000000"/>
        </w:rPr>
      </w:pPr>
      <w:r>
        <w:rPr>
          <w:b/>
          <w:bCs/>
          <w:color w:val="000000"/>
        </w:rPr>
        <w:t>BEFORE THE</w:t>
      </w:r>
    </w:p>
    <w:p w:rsidR="00683D15" w:rsidRDefault="00683D15">
      <w:pPr>
        <w:jc w:val="center"/>
        <w:rPr>
          <w:b/>
          <w:bCs/>
          <w:color w:val="000000"/>
        </w:rPr>
      </w:pPr>
    </w:p>
    <w:p w:rsidR="00683D15" w:rsidRPr="00D43CB4" w:rsidRDefault="00D736E4">
      <w:pPr>
        <w:pStyle w:val="Heading4"/>
        <w:rPr>
          <w:rFonts w:ascii="Times New Roman" w:hAnsi="Times New Roman"/>
          <w:color w:val="000000"/>
          <w:sz w:val="24"/>
          <w:szCs w:val="24"/>
        </w:rPr>
      </w:pPr>
      <w:r w:rsidRPr="00D736E4">
        <w:rPr>
          <w:rFonts w:ascii="Times New Roman" w:hAnsi="Times New Roman"/>
          <w:color w:val="000000"/>
          <w:sz w:val="24"/>
          <w:szCs w:val="24"/>
        </w:rPr>
        <w:t>GEORGIA PUBLIC SERVICE COMMISSION</w:t>
      </w:r>
    </w:p>
    <w:p w:rsidR="00683D15" w:rsidRDefault="00683D15">
      <w:pPr>
        <w:jc w:val="center"/>
        <w:rPr>
          <w:b/>
          <w:bCs/>
          <w:color w:val="000000"/>
        </w:rPr>
      </w:pPr>
    </w:p>
    <w:p w:rsidR="00683D15" w:rsidRDefault="00683D15" w:rsidP="00E0396D">
      <w:pPr>
        <w:jc w:val="center"/>
        <w:rPr>
          <w:b/>
          <w:bCs/>
          <w:color w:val="000000"/>
        </w:rPr>
      </w:pPr>
    </w:p>
    <w:tbl>
      <w:tblPr>
        <w:tblW w:w="0" w:type="auto"/>
        <w:tblInd w:w="-106" w:type="dxa"/>
        <w:tblLook w:val="0000" w:firstRow="0" w:lastRow="0" w:firstColumn="0" w:lastColumn="0" w:noHBand="0" w:noVBand="0"/>
      </w:tblPr>
      <w:tblGrid>
        <w:gridCol w:w="9240"/>
        <w:gridCol w:w="221"/>
        <w:gridCol w:w="221"/>
      </w:tblGrid>
      <w:tr w:rsidR="00683D15">
        <w:tc>
          <w:tcPr>
            <w:tcW w:w="3192" w:type="dxa"/>
          </w:tcPr>
          <w:p w:rsidR="00683D15" w:rsidRDefault="00683D15" w:rsidP="00437EE6">
            <w:pPr>
              <w:jc w:val="center"/>
              <w:rPr>
                <w:b/>
                <w:bCs/>
                <w:color w:val="000000"/>
              </w:rPr>
            </w:pPr>
          </w:p>
        </w:tc>
        <w:tc>
          <w:tcPr>
            <w:tcW w:w="3192" w:type="dxa"/>
          </w:tcPr>
          <w:p w:rsidR="00683D15" w:rsidRDefault="00683D15" w:rsidP="00437EE6">
            <w:pPr>
              <w:jc w:val="center"/>
              <w:rPr>
                <w:b/>
                <w:bCs/>
                <w:color w:val="000000"/>
              </w:rPr>
            </w:pPr>
          </w:p>
        </w:tc>
        <w:tc>
          <w:tcPr>
            <w:tcW w:w="3192" w:type="dxa"/>
          </w:tcPr>
          <w:p w:rsidR="00683D15" w:rsidRDefault="00683D15" w:rsidP="00437EE6">
            <w:pPr>
              <w:jc w:val="center"/>
              <w:rPr>
                <w:b/>
                <w:bCs/>
                <w:color w:val="000000"/>
              </w:rPr>
            </w:pPr>
          </w:p>
        </w:tc>
      </w:tr>
      <w:tr w:rsidR="00683D15">
        <w:tc>
          <w:tcPr>
            <w:tcW w:w="3192" w:type="dxa"/>
          </w:tcPr>
          <w:p w:rsidR="00683D15" w:rsidRDefault="00683D15" w:rsidP="00437EE6">
            <w:pPr>
              <w:jc w:val="center"/>
              <w:rPr>
                <w:b/>
                <w:bCs/>
                <w:color w:val="000000"/>
              </w:rPr>
            </w:pPr>
          </w:p>
        </w:tc>
        <w:tc>
          <w:tcPr>
            <w:tcW w:w="3192" w:type="dxa"/>
          </w:tcPr>
          <w:p w:rsidR="00683D15" w:rsidRDefault="00683D15" w:rsidP="00437EE6">
            <w:pPr>
              <w:jc w:val="center"/>
              <w:rPr>
                <w:b/>
                <w:bCs/>
                <w:color w:val="000000"/>
              </w:rPr>
            </w:pPr>
          </w:p>
        </w:tc>
        <w:tc>
          <w:tcPr>
            <w:tcW w:w="3192" w:type="dxa"/>
          </w:tcPr>
          <w:p w:rsidR="00683D15" w:rsidRDefault="00683D15" w:rsidP="00437EE6">
            <w:pPr>
              <w:jc w:val="center"/>
              <w:rPr>
                <w:b/>
                <w:bCs/>
                <w:color w:val="000000"/>
              </w:rPr>
            </w:pPr>
          </w:p>
        </w:tc>
      </w:tr>
      <w:tr w:rsidR="00683D15">
        <w:tc>
          <w:tcPr>
            <w:tcW w:w="3192" w:type="dxa"/>
          </w:tcPr>
          <w:tbl>
            <w:tblPr>
              <w:tblW w:w="10686" w:type="dxa"/>
              <w:tblLook w:val="01E0" w:firstRow="1" w:lastRow="1" w:firstColumn="1" w:lastColumn="1" w:noHBand="0" w:noVBand="0"/>
            </w:tblPr>
            <w:tblGrid>
              <w:gridCol w:w="5890"/>
              <w:gridCol w:w="296"/>
              <w:gridCol w:w="4500"/>
            </w:tblGrid>
            <w:tr w:rsidR="00683D15">
              <w:tc>
                <w:tcPr>
                  <w:tcW w:w="5890" w:type="dxa"/>
                </w:tcPr>
                <w:p w:rsidR="00683D15" w:rsidRDefault="005C00C3" w:rsidP="00437EE6">
                  <w:pPr>
                    <w:rPr>
                      <w:b/>
                      <w:bCs/>
                      <w:color w:val="000000"/>
                    </w:rPr>
                  </w:pPr>
                  <w:r>
                    <w:rPr>
                      <w:b/>
                      <w:bCs/>
                      <w:color w:val="000000"/>
                    </w:rPr>
                    <w:t>IN THE MATTER OF:</w:t>
                  </w:r>
                </w:p>
                <w:p w:rsidR="00683D15" w:rsidRDefault="005C00C3" w:rsidP="00981661">
                  <w:pPr>
                    <w:rPr>
                      <w:b/>
                      <w:bCs/>
                      <w:color w:val="000000"/>
                    </w:rPr>
                  </w:pPr>
                  <w:r>
                    <w:rPr>
                      <w:b/>
                      <w:bCs/>
                      <w:color w:val="000000"/>
                    </w:rPr>
                    <w:t>GEORGIA POWER COMPANY’S</w:t>
                  </w:r>
                  <w:r w:rsidR="00981661">
                    <w:rPr>
                      <w:b/>
                      <w:bCs/>
                      <w:color w:val="000000"/>
                    </w:rPr>
                    <w:t xml:space="preserve"> </w:t>
                  </w:r>
                </w:p>
              </w:tc>
              <w:tc>
                <w:tcPr>
                  <w:tcW w:w="296" w:type="dxa"/>
                </w:tcPr>
                <w:p w:rsidR="00683D15" w:rsidRDefault="00683D15" w:rsidP="00437EE6">
                  <w:pPr>
                    <w:jc w:val="center"/>
                    <w:rPr>
                      <w:b/>
                      <w:bCs/>
                      <w:color w:val="000000"/>
                    </w:rPr>
                  </w:pPr>
                </w:p>
                <w:p w:rsidR="00683D15" w:rsidRDefault="00683D15" w:rsidP="00437EE6">
                  <w:pPr>
                    <w:jc w:val="center"/>
                    <w:rPr>
                      <w:b/>
                      <w:bCs/>
                      <w:color w:val="000000"/>
                    </w:rPr>
                  </w:pPr>
                  <w:r>
                    <w:rPr>
                      <w:b/>
                      <w:bCs/>
                      <w:color w:val="000000"/>
                    </w:rPr>
                    <w:t>)</w:t>
                  </w:r>
                </w:p>
              </w:tc>
              <w:tc>
                <w:tcPr>
                  <w:tcW w:w="4500" w:type="dxa"/>
                </w:tcPr>
                <w:p w:rsidR="00683D15" w:rsidRDefault="00683D15" w:rsidP="00437EE6">
                  <w:pPr>
                    <w:jc w:val="center"/>
                    <w:rPr>
                      <w:b/>
                      <w:bCs/>
                      <w:color w:val="000000"/>
                    </w:rPr>
                  </w:pPr>
                </w:p>
              </w:tc>
            </w:tr>
            <w:tr w:rsidR="00683D15">
              <w:tc>
                <w:tcPr>
                  <w:tcW w:w="5890" w:type="dxa"/>
                </w:tcPr>
                <w:p w:rsidR="00683D15" w:rsidRDefault="00704D3B" w:rsidP="00437EE6">
                  <w:pPr>
                    <w:rPr>
                      <w:b/>
                      <w:bCs/>
                      <w:color w:val="000000"/>
                    </w:rPr>
                  </w:pPr>
                  <w:r>
                    <w:rPr>
                      <w:b/>
                      <w:bCs/>
                      <w:color w:val="000000"/>
                    </w:rPr>
                    <w:t>2015 FUEL COST RECOVERY CASE (FCR-24)</w:t>
                  </w:r>
                  <w:r w:rsidR="005C00C3">
                    <w:rPr>
                      <w:b/>
                      <w:bCs/>
                      <w:color w:val="000000"/>
                    </w:rPr>
                    <w:t xml:space="preserve"> </w:t>
                  </w:r>
                </w:p>
              </w:tc>
              <w:tc>
                <w:tcPr>
                  <w:tcW w:w="296" w:type="dxa"/>
                </w:tcPr>
                <w:p w:rsidR="00683D15" w:rsidRDefault="00683D15" w:rsidP="00437EE6">
                  <w:pPr>
                    <w:jc w:val="center"/>
                    <w:rPr>
                      <w:b/>
                      <w:bCs/>
                      <w:color w:val="000000"/>
                    </w:rPr>
                  </w:pPr>
                  <w:r>
                    <w:rPr>
                      <w:b/>
                      <w:bCs/>
                      <w:color w:val="000000"/>
                    </w:rPr>
                    <w:t>)</w:t>
                  </w:r>
                </w:p>
              </w:tc>
              <w:tc>
                <w:tcPr>
                  <w:tcW w:w="4500" w:type="dxa"/>
                </w:tcPr>
                <w:p w:rsidR="00683D15" w:rsidRDefault="005C00C3" w:rsidP="00FF3BCD">
                  <w:pPr>
                    <w:rPr>
                      <w:b/>
                      <w:bCs/>
                      <w:color w:val="000000"/>
                    </w:rPr>
                  </w:pPr>
                  <w:r>
                    <w:rPr>
                      <w:b/>
                      <w:bCs/>
                      <w:color w:val="000000"/>
                    </w:rPr>
                    <w:t xml:space="preserve">DOCKET NO. </w:t>
                  </w:r>
                  <w:r w:rsidR="00704D3B">
                    <w:rPr>
                      <w:b/>
                      <w:bCs/>
                      <w:color w:val="000000"/>
                    </w:rPr>
                    <w:t>39638</w:t>
                  </w:r>
                </w:p>
              </w:tc>
            </w:tr>
            <w:tr w:rsidR="00683D15">
              <w:tc>
                <w:tcPr>
                  <w:tcW w:w="5890" w:type="dxa"/>
                </w:tcPr>
                <w:p w:rsidR="00683D15" w:rsidRDefault="00683D15" w:rsidP="00300A25">
                  <w:pPr>
                    <w:rPr>
                      <w:b/>
                      <w:bCs/>
                      <w:color w:val="000000"/>
                    </w:rPr>
                  </w:pPr>
                </w:p>
              </w:tc>
              <w:tc>
                <w:tcPr>
                  <w:tcW w:w="296" w:type="dxa"/>
                </w:tcPr>
                <w:p w:rsidR="00683D15" w:rsidRDefault="00683D15" w:rsidP="00437EE6">
                  <w:pPr>
                    <w:jc w:val="center"/>
                    <w:rPr>
                      <w:b/>
                      <w:bCs/>
                      <w:color w:val="000000"/>
                    </w:rPr>
                  </w:pPr>
                  <w:r>
                    <w:rPr>
                      <w:b/>
                      <w:bCs/>
                      <w:color w:val="000000"/>
                    </w:rPr>
                    <w:t>)</w:t>
                  </w:r>
                </w:p>
              </w:tc>
              <w:tc>
                <w:tcPr>
                  <w:tcW w:w="4500" w:type="dxa"/>
                </w:tcPr>
                <w:p w:rsidR="00683D15" w:rsidRDefault="00683D15" w:rsidP="00437EE6">
                  <w:pPr>
                    <w:jc w:val="center"/>
                    <w:rPr>
                      <w:b/>
                      <w:bCs/>
                      <w:color w:val="000000"/>
                    </w:rPr>
                  </w:pPr>
                </w:p>
              </w:tc>
            </w:tr>
            <w:tr w:rsidR="00683D15">
              <w:tc>
                <w:tcPr>
                  <w:tcW w:w="5890" w:type="dxa"/>
                </w:tcPr>
                <w:p w:rsidR="00683D15" w:rsidRDefault="00683D15" w:rsidP="00437EE6">
                  <w:pPr>
                    <w:jc w:val="center"/>
                    <w:rPr>
                      <w:b/>
                      <w:bCs/>
                      <w:color w:val="000000"/>
                    </w:rPr>
                  </w:pPr>
                </w:p>
              </w:tc>
              <w:tc>
                <w:tcPr>
                  <w:tcW w:w="296" w:type="dxa"/>
                </w:tcPr>
                <w:p w:rsidR="00683D15" w:rsidRDefault="00683D15" w:rsidP="00437EE6">
                  <w:pPr>
                    <w:jc w:val="center"/>
                    <w:rPr>
                      <w:b/>
                      <w:bCs/>
                      <w:color w:val="000000"/>
                    </w:rPr>
                  </w:pPr>
                </w:p>
              </w:tc>
              <w:tc>
                <w:tcPr>
                  <w:tcW w:w="4500" w:type="dxa"/>
                </w:tcPr>
                <w:p w:rsidR="00683D15" w:rsidRDefault="00683D15" w:rsidP="00437EE6">
                  <w:pPr>
                    <w:jc w:val="center"/>
                    <w:rPr>
                      <w:b/>
                      <w:bCs/>
                      <w:color w:val="000000"/>
                    </w:rPr>
                  </w:pPr>
                </w:p>
              </w:tc>
            </w:tr>
          </w:tbl>
          <w:p w:rsidR="00683D15" w:rsidRDefault="00683D15" w:rsidP="00437EE6">
            <w:pPr>
              <w:jc w:val="center"/>
              <w:rPr>
                <w:b/>
                <w:bCs/>
                <w:color w:val="000000"/>
              </w:rPr>
            </w:pPr>
          </w:p>
        </w:tc>
        <w:tc>
          <w:tcPr>
            <w:tcW w:w="3192" w:type="dxa"/>
          </w:tcPr>
          <w:p w:rsidR="00683D15" w:rsidRDefault="00683D15" w:rsidP="00437EE6">
            <w:pPr>
              <w:jc w:val="center"/>
              <w:rPr>
                <w:b/>
                <w:bCs/>
                <w:color w:val="000000"/>
              </w:rPr>
            </w:pPr>
          </w:p>
        </w:tc>
        <w:tc>
          <w:tcPr>
            <w:tcW w:w="3192" w:type="dxa"/>
          </w:tcPr>
          <w:p w:rsidR="00683D15" w:rsidRDefault="00683D15" w:rsidP="00437EE6">
            <w:pPr>
              <w:jc w:val="center"/>
              <w:rPr>
                <w:b/>
                <w:bCs/>
                <w:color w:val="000000"/>
              </w:rPr>
            </w:pPr>
          </w:p>
        </w:tc>
      </w:tr>
    </w:tbl>
    <w:p w:rsidR="00683D15" w:rsidRDefault="00683D15">
      <w:pPr>
        <w:rPr>
          <w:b/>
          <w:bCs/>
          <w:color w:val="000000"/>
        </w:rPr>
      </w:pPr>
    </w:p>
    <w:p w:rsidR="000D4D62" w:rsidRDefault="000D4D62">
      <w:pPr>
        <w:rPr>
          <w:b/>
          <w:bCs/>
          <w:color w:val="000000"/>
        </w:rPr>
      </w:pPr>
      <w:bookmarkStart w:id="0" w:name="_GoBack"/>
      <w:bookmarkEnd w:id="0"/>
    </w:p>
    <w:p w:rsidR="00683D15" w:rsidRDefault="00683D15">
      <w:pPr>
        <w:rPr>
          <w:b/>
          <w:bCs/>
          <w:color w:val="000000"/>
        </w:rPr>
      </w:pPr>
    </w:p>
    <w:p w:rsidR="00683D15" w:rsidRDefault="00981661">
      <w:pPr>
        <w:rPr>
          <w:b/>
          <w:bCs/>
          <w:color w:val="000000"/>
        </w:rPr>
      </w:pPr>
      <w:r>
        <w:rPr>
          <w:noProof/>
        </w:rPr>
        <mc:AlternateContent>
          <mc:Choice Requires="wps">
            <w:drawing>
              <wp:anchor distT="0" distB="0" distL="114300" distR="114300" simplePos="0" relativeHeight="251657728" behindDoc="0" locked="0" layoutInCell="0" allowOverlap="1">
                <wp:simplePos x="0" y="0"/>
                <wp:positionH relativeFrom="column">
                  <wp:posOffset>1325880</wp:posOffset>
                </wp:positionH>
                <wp:positionV relativeFrom="paragraph">
                  <wp:posOffset>86360</wp:posOffset>
                </wp:positionV>
                <wp:extent cx="3017520" cy="1649730"/>
                <wp:effectExtent l="0" t="0" r="11430" b="2667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17520" cy="1649730"/>
                        </a:xfrm>
                        <a:prstGeom prst="rect">
                          <a:avLst/>
                        </a:prstGeom>
                        <a:solidFill>
                          <a:srgbClr val="FFFFFF"/>
                        </a:solidFill>
                        <a:ln w="9525">
                          <a:solidFill>
                            <a:srgbClr val="000000"/>
                          </a:solidFill>
                          <a:miter lim="800000"/>
                          <a:headEnd/>
                          <a:tailEnd/>
                        </a:ln>
                      </wps:spPr>
                      <wps:txbx>
                        <w:txbxContent>
                          <w:p w:rsidR="00432CF8" w:rsidRDefault="00432CF8"/>
                          <w:p w:rsidR="00432CF8" w:rsidRDefault="00432CF8">
                            <w:pPr>
                              <w:jc w:val="center"/>
                              <w:rPr>
                                <w:b/>
                                <w:bCs/>
                              </w:rPr>
                            </w:pPr>
                            <w:r>
                              <w:rPr>
                                <w:b/>
                                <w:bCs/>
                              </w:rPr>
                              <w:t>DIRECT TESTIMONY</w:t>
                            </w:r>
                          </w:p>
                          <w:p w:rsidR="00432CF8" w:rsidRDefault="00432CF8">
                            <w:pPr>
                              <w:jc w:val="center"/>
                              <w:rPr>
                                <w:b/>
                                <w:bCs/>
                              </w:rPr>
                            </w:pPr>
                          </w:p>
                          <w:p w:rsidR="00432CF8" w:rsidRDefault="00432CF8">
                            <w:pPr>
                              <w:jc w:val="center"/>
                              <w:rPr>
                                <w:b/>
                                <w:bCs/>
                              </w:rPr>
                            </w:pPr>
                            <w:r>
                              <w:rPr>
                                <w:b/>
                                <w:bCs/>
                              </w:rPr>
                              <w:t>OF</w:t>
                            </w:r>
                          </w:p>
                          <w:p w:rsidR="00432CF8" w:rsidRDefault="00432CF8">
                            <w:pPr>
                              <w:jc w:val="center"/>
                              <w:rPr>
                                <w:b/>
                                <w:bCs/>
                              </w:rPr>
                            </w:pPr>
                          </w:p>
                          <w:p w:rsidR="00432CF8" w:rsidRDefault="00432CF8">
                            <w:pPr>
                              <w:jc w:val="center"/>
                              <w:rPr>
                                <w:b/>
                                <w:bCs/>
                              </w:rPr>
                            </w:pPr>
                            <w:smartTag w:uri="urn:schemas-microsoft-com:office:smarttags" w:element="stockticker">
                              <w:r>
                                <w:rPr>
                                  <w:b/>
                                  <w:bCs/>
                                </w:rPr>
                                <w:t>TOM</w:t>
                              </w:r>
                            </w:smartTag>
                            <w:r>
                              <w:rPr>
                                <w:b/>
                                <w:bCs/>
                              </w:rPr>
                              <w:t xml:space="preserve"> J. NEWSOME, PE, CFA</w:t>
                            </w:r>
                          </w:p>
                          <w:p w:rsidR="00432CF8" w:rsidRDefault="00432CF8">
                            <w:pPr>
                              <w:jc w:val="center"/>
                              <w:rPr>
                                <w:b/>
                                <w:bCs/>
                              </w:rPr>
                            </w:pPr>
                          </w:p>
                          <w:p w:rsidR="00432CF8" w:rsidRDefault="00432CF8">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104.4pt;margin-top:6.8pt;width:237.6pt;height:129.9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" o:allowincell="f">
                <v:textbox>
                  <w:txbxContent>
                    <w:p w:rsidR="00432CF8" w:rsidRDefault="00432CF8"/>
                    <w:p w:rsidR="00432CF8" w:rsidRDefault="00432CF8">
                      <w:pPr>
                        <w:jc w:val="center"/>
                        <w:rPr>
                          <w:b/>
                          <w:bCs/>
                        </w:rPr>
                      </w:pPr>
                      <w:r>
                        <w:rPr>
                          <w:b/>
                          <w:bCs/>
                        </w:rPr>
                        <w:t>DIRECT TESTIMONY</w:t>
                      </w:r>
                    </w:p>
                    <w:p w:rsidR="00432CF8" w:rsidRDefault="00432CF8">
                      <w:pPr>
                        <w:jc w:val="center"/>
                        <w:rPr>
                          <w:b/>
                          <w:bCs/>
                        </w:rPr>
                      </w:pPr>
                    </w:p>
                    <w:p w:rsidR="00432CF8" w:rsidRDefault="00432CF8">
                      <w:pPr>
                        <w:jc w:val="center"/>
                        <w:rPr>
                          <w:b/>
                          <w:bCs/>
                        </w:rPr>
                      </w:pPr>
                      <w:r>
                        <w:rPr>
                          <w:b/>
                          <w:bCs/>
                        </w:rPr>
                        <w:t>OF</w:t>
                      </w:r>
                    </w:p>
                    <w:p w:rsidR="00432CF8" w:rsidRDefault="00432CF8">
                      <w:pPr>
                        <w:jc w:val="center"/>
                        <w:rPr>
                          <w:b/>
                          <w:bCs/>
                        </w:rPr>
                      </w:pPr>
                    </w:p>
                    <w:p w:rsidR="00432CF8" w:rsidRDefault="00432CF8">
                      <w:pPr>
                        <w:jc w:val="center"/>
                        <w:rPr>
                          <w:b/>
                          <w:bCs/>
                        </w:rPr>
                      </w:pPr>
                      <w:smartTag w:uri="urn:schemas-microsoft-com:office:smarttags" w:element="stockticker">
                        <w:r>
                          <w:rPr>
                            <w:b/>
                            <w:bCs/>
                          </w:rPr>
                          <w:t>TOM</w:t>
                        </w:r>
                      </w:smartTag>
                      <w:r>
                        <w:rPr>
                          <w:b/>
                          <w:bCs/>
                        </w:rPr>
                        <w:t xml:space="preserve"> J. NEWSOME, PE, CFA</w:t>
                      </w:r>
                    </w:p>
                    <w:p w:rsidR="00432CF8" w:rsidRDefault="00432CF8">
                      <w:pPr>
                        <w:jc w:val="center"/>
                        <w:rPr>
                          <w:b/>
                          <w:bCs/>
                        </w:rPr>
                      </w:pPr>
                    </w:p>
                    <w:p w:rsidR="00432CF8" w:rsidRDefault="00432CF8">
                      <w:pPr>
                        <w:jc w:val="center"/>
                      </w:pPr>
                    </w:p>
                  </w:txbxContent>
                </v:textbox>
              </v:shape>
            </w:pict>
          </mc:Fallback>
        </mc:AlternateContent>
      </w:r>
    </w:p>
    <w:p w:rsidR="00683D15" w:rsidRDefault="00683D15">
      <w:pPr>
        <w:jc w:val="center"/>
        <w:rPr>
          <w:b/>
          <w:bCs/>
          <w:color w:val="000000"/>
        </w:rPr>
      </w:pPr>
      <w:r>
        <w:rPr>
          <w:b/>
          <w:bCs/>
          <w:color w:val="000000"/>
        </w:rPr>
        <w:t xml:space="preserve">DIRECT TESTIMONY </w:t>
      </w:r>
      <w:smartTag w:uri="urn:schemas-microsoft-com:office:smarttags" w:element="stockticker">
        <w:r>
          <w:rPr>
            <w:b/>
            <w:bCs/>
            <w:color w:val="000000"/>
          </w:rPr>
          <w:t>AND</w:t>
        </w:r>
      </w:smartTag>
      <w:r>
        <w:rPr>
          <w:b/>
          <w:bCs/>
          <w:color w:val="000000"/>
        </w:rPr>
        <w:t xml:space="preserve"> EXHIBITS</w:t>
      </w:r>
    </w:p>
    <w:p w:rsidR="00683D15" w:rsidRDefault="00683D15">
      <w:pPr>
        <w:jc w:val="center"/>
        <w:rPr>
          <w:b/>
          <w:bCs/>
          <w:color w:val="000000"/>
        </w:rPr>
      </w:pPr>
    </w:p>
    <w:p w:rsidR="00683D15" w:rsidRDefault="00683D15">
      <w:pPr>
        <w:pStyle w:val="Heading4"/>
        <w:rPr>
          <w:color w:val="000000"/>
        </w:rPr>
      </w:pPr>
      <w:r>
        <w:rPr>
          <w:color w:val="000000"/>
        </w:rPr>
        <w:t>OF</w:t>
      </w:r>
    </w:p>
    <w:p w:rsidR="00683D15" w:rsidRDefault="00683D15">
      <w:pPr>
        <w:jc w:val="center"/>
        <w:rPr>
          <w:b/>
          <w:bCs/>
          <w:color w:val="000000"/>
        </w:rPr>
      </w:pPr>
    </w:p>
    <w:p w:rsidR="00683D15" w:rsidRDefault="00683D15">
      <w:pPr>
        <w:jc w:val="center"/>
        <w:rPr>
          <w:b/>
          <w:bCs/>
          <w:color w:val="000000"/>
        </w:rPr>
      </w:pPr>
      <w:r>
        <w:rPr>
          <w:b/>
          <w:bCs/>
          <w:color w:val="000000"/>
        </w:rPr>
        <w:t>RALPH C. SMITH</w:t>
      </w:r>
    </w:p>
    <w:p w:rsidR="00683D15" w:rsidRDefault="00683D15">
      <w:pPr>
        <w:rPr>
          <w:b/>
          <w:bCs/>
          <w:color w:val="000000"/>
        </w:rPr>
      </w:pPr>
    </w:p>
    <w:p w:rsidR="00683D15" w:rsidRDefault="00683D15">
      <w:pPr>
        <w:rPr>
          <w:b/>
          <w:bCs/>
          <w:color w:val="000000"/>
        </w:rPr>
      </w:pPr>
    </w:p>
    <w:p w:rsidR="00683D15" w:rsidRDefault="00683D15">
      <w:pPr>
        <w:rPr>
          <w:b/>
          <w:bCs/>
          <w:color w:val="000000"/>
        </w:rPr>
      </w:pPr>
    </w:p>
    <w:p w:rsidR="00683D15" w:rsidRDefault="00683D15">
      <w:pPr>
        <w:rPr>
          <w:b/>
          <w:bCs/>
          <w:color w:val="000000"/>
        </w:rPr>
      </w:pPr>
    </w:p>
    <w:p w:rsidR="00683D15" w:rsidRDefault="00683D15">
      <w:pPr>
        <w:rPr>
          <w:b/>
          <w:bCs/>
          <w:color w:val="000000"/>
        </w:rPr>
      </w:pPr>
    </w:p>
    <w:p w:rsidR="00683D15" w:rsidRDefault="00683D15">
      <w:pPr>
        <w:rPr>
          <w:b/>
          <w:bCs/>
          <w:color w:val="000000"/>
        </w:rPr>
      </w:pPr>
    </w:p>
    <w:p w:rsidR="00683D15" w:rsidRDefault="00683D15">
      <w:pPr>
        <w:rPr>
          <w:b/>
          <w:bCs/>
          <w:color w:val="000000"/>
        </w:rPr>
      </w:pPr>
    </w:p>
    <w:p w:rsidR="00683D15" w:rsidRDefault="00683D15">
      <w:pPr>
        <w:rPr>
          <w:b/>
          <w:bCs/>
          <w:color w:val="000000"/>
        </w:rPr>
      </w:pPr>
    </w:p>
    <w:p w:rsidR="00683D15" w:rsidRDefault="00683D15">
      <w:pPr>
        <w:jc w:val="center"/>
        <w:rPr>
          <w:b/>
          <w:bCs/>
          <w:color w:val="000000"/>
        </w:rPr>
      </w:pPr>
      <w:r>
        <w:rPr>
          <w:b/>
          <w:bCs/>
          <w:color w:val="000000"/>
        </w:rPr>
        <w:t xml:space="preserve">ON BEHALF OF THE </w:t>
      </w:r>
    </w:p>
    <w:p w:rsidR="00683D15" w:rsidRDefault="00683D15">
      <w:pPr>
        <w:jc w:val="center"/>
        <w:rPr>
          <w:b/>
          <w:bCs/>
          <w:color w:val="000000"/>
        </w:rPr>
      </w:pPr>
    </w:p>
    <w:p w:rsidR="00683D15" w:rsidRDefault="00683D15">
      <w:pPr>
        <w:jc w:val="center"/>
        <w:rPr>
          <w:b/>
          <w:bCs/>
          <w:color w:val="000000"/>
        </w:rPr>
      </w:pPr>
      <w:smartTag w:uri="urn:schemas-microsoft-com:office:smarttags" w:element="place">
        <w:smartTag w:uri="urn:schemas-microsoft-com:office:smarttags" w:element="country-region">
          <w:r>
            <w:rPr>
              <w:b/>
              <w:bCs/>
              <w:color w:val="000000"/>
            </w:rPr>
            <w:t>GEORGIA</w:t>
          </w:r>
        </w:smartTag>
      </w:smartTag>
      <w:r>
        <w:rPr>
          <w:b/>
          <w:bCs/>
          <w:color w:val="000000"/>
        </w:rPr>
        <w:t xml:space="preserve"> PUBLIC SERVICE COMMISSION</w:t>
      </w:r>
    </w:p>
    <w:p w:rsidR="00683D15" w:rsidRDefault="00683D15">
      <w:pPr>
        <w:jc w:val="center"/>
        <w:rPr>
          <w:b/>
          <w:bCs/>
          <w:color w:val="000000"/>
        </w:rPr>
      </w:pPr>
      <w:r>
        <w:rPr>
          <w:b/>
          <w:bCs/>
          <w:color w:val="000000"/>
        </w:rPr>
        <w:t>PUBLIC INTEREST ADVOCACY STAFF</w:t>
      </w:r>
    </w:p>
    <w:p w:rsidR="00683D15" w:rsidRDefault="00683D15">
      <w:pPr>
        <w:jc w:val="center"/>
        <w:rPr>
          <w:b/>
          <w:bCs/>
          <w:color w:val="000000"/>
        </w:rPr>
      </w:pPr>
    </w:p>
    <w:p w:rsidR="00683D15" w:rsidRDefault="00683D15">
      <w:pPr>
        <w:jc w:val="center"/>
        <w:rPr>
          <w:b/>
          <w:bCs/>
          <w:color w:val="000000"/>
        </w:rPr>
      </w:pPr>
    </w:p>
    <w:p w:rsidR="00683D15" w:rsidRDefault="00683D15">
      <w:pPr>
        <w:jc w:val="center"/>
        <w:rPr>
          <w:b/>
          <w:bCs/>
          <w:color w:val="000000"/>
        </w:rPr>
      </w:pPr>
    </w:p>
    <w:p w:rsidR="00683D15" w:rsidRDefault="00683D15">
      <w:pPr>
        <w:jc w:val="center"/>
        <w:rPr>
          <w:b/>
          <w:bCs/>
          <w:color w:val="000000"/>
        </w:rPr>
      </w:pPr>
    </w:p>
    <w:p w:rsidR="00683D15" w:rsidRDefault="00683D15">
      <w:pPr>
        <w:jc w:val="center"/>
        <w:rPr>
          <w:b/>
          <w:bCs/>
          <w:color w:val="000000"/>
        </w:rPr>
      </w:pPr>
    </w:p>
    <w:p w:rsidR="00683D15" w:rsidRDefault="00704D3B">
      <w:pPr>
        <w:jc w:val="center"/>
        <w:rPr>
          <w:b/>
          <w:bCs/>
          <w:color w:val="000000"/>
        </w:rPr>
      </w:pPr>
      <w:r>
        <w:rPr>
          <w:b/>
          <w:bCs/>
          <w:color w:val="000000"/>
        </w:rPr>
        <w:t>November 4, 2015</w:t>
      </w:r>
    </w:p>
    <w:p w:rsidR="00683D15" w:rsidRDefault="00683D15">
      <w:pPr>
        <w:jc w:val="center"/>
        <w:rPr>
          <w:b/>
          <w:bCs/>
          <w:color w:val="000000"/>
        </w:rPr>
      </w:pPr>
      <w:r>
        <w:rPr>
          <w:color w:val="000000"/>
        </w:rPr>
        <w:br w:type="page"/>
      </w:r>
      <w:r>
        <w:rPr>
          <w:b/>
          <w:bCs/>
          <w:color w:val="000000"/>
        </w:rPr>
        <w:lastRenderedPageBreak/>
        <w:t xml:space="preserve">DIRECT TESTIMONY OF </w:t>
      </w:r>
    </w:p>
    <w:p w:rsidR="00683D15" w:rsidRDefault="00683D15">
      <w:pPr>
        <w:jc w:val="center"/>
        <w:rPr>
          <w:b/>
          <w:bCs/>
          <w:color w:val="000000"/>
        </w:rPr>
      </w:pPr>
      <w:smartTag w:uri="urn:schemas-microsoft-com:office:smarttags" w:element="stockticker">
        <w:r>
          <w:rPr>
            <w:b/>
            <w:bCs/>
            <w:color w:val="000000"/>
          </w:rPr>
          <w:t>TOM</w:t>
        </w:r>
      </w:smartTag>
      <w:r>
        <w:rPr>
          <w:b/>
          <w:bCs/>
          <w:color w:val="000000"/>
        </w:rPr>
        <w:t xml:space="preserve"> J. NEWSOME, PE, CFA</w:t>
      </w:r>
    </w:p>
    <w:p w:rsidR="00683D15" w:rsidRDefault="00683D15">
      <w:pPr>
        <w:jc w:val="center"/>
        <w:rPr>
          <w:b/>
          <w:bCs/>
          <w:color w:val="000000"/>
        </w:rPr>
      </w:pPr>
      <w:r>
        <w:rPr>
          <w:b/>
          <w:bCs/>
          <w:color w:val="000000"/>
        </w:rPr>
        <w:t xml:space="preserve">ON BEHALF OF THE COMMISSION </w:t>
      </w:r>
    </w:p>
    <w:p w:rsidR="00683D15" w:rsidRDefault="00683D15">
      <w:pPr>
        <w:pStyle w:val="Heading9"/>
        <w:rPr>
          <w:b/>
          <w:bCs/>
          <w:color w:val="000000"/>
        </w:rPr>
      </w:pPr>
      <w:r>
        <w:rPr>
          <w:b/>
          <w:bCs/>
          <w:color w:val="000000"/>
        </w:rPr>
        <w:t>PUBLIC INTEREST ADVOCACY STAFF</w:t>
      </w:r>
    </w:p>
    <w:p w:rsidR="00683D15" w:rsidRDefault="00683D15" w:rsidP="0099017F"/>
    <w:p w:rsidR="00683D15" w:rsidRPr="0099017F" w:rsidRDefault="00683D15" w:rsidP="0099017F"/>
    <w:p w:rsidR="00683D15" w:rsidRPr="0099017F" w:rsidRDefault="00683D15">
      <w:pPr>
        <w:pStyle w:val="Heading9"/>
        <w:rPr>
          <w:color w:val="000000"/>
          <w:u w:val="single"/>
        </w:rPr>
      </w:pPr>
      <w:r w:rsidRPr="0099017F">
        <w:rPr>
          <w:b/>
          <w:bCs/>
          <w:color w:val="000000"/>
          <w:u w:val="single"/>
        </w:rPr>
        <w:t>TABLE OF CONTENTS</w:t>
      </w:r>
    </w:p>
    <w:p w:rsidR="00683D15" w:rsidRDefault="00683D15">
      <w:pPr>
        <w:ind w:right="720"/>
        <w:jc w:val="right"/>
        <w:rPr>
          <w:b/>
          <w:bCs/>
          <w:color w:val="000000"/>
          <w:u w:val="single"/>
        </w:rPr>
      </w:pPr>
    </w:p>
    <w:p w:rsidR="00683D15" w:rsidRDefault="00683D15">
      <w:pPr>
        <w:ind w:right="720"/>
        <w:jc w:val="right"/>
        <w:rPr>
          <w:b/>
          <w:bCs/>
          <w:color w:val="000000"/>
          <w:u w:val="single"/>
        </w:rPr>
      </w:pPr>
      <w:r>
        <w:rPr>
          <w:b/>
          <w:bCs/>
          <w:color w:val="000000"/>
          <w:u w:val="single"/>
        </w:rPr>
        <w:t>Page</w:t>
      </w:r>
    </w:p>
    <w:tbl>
      <w:tblPr>
        <w:tblW w:w="0" w:type="auto"/>
        <w:tblInd w:w="-106" w:type="dxa"/>
        <w:tblLayout w:type="fixed"/>
        <w:tblLook w:val="01E0" w:firstRow="1" w:lastRow="1" w:firstColumn="1" w:lastColumn="1" w:noHBand="0" w:noVBand="0"/>
      </w:tblPr>
      <w:tblGrid>
        <w:gridCol w:w="4230"/>
        <w:gridCol w:w="3960"/>
      </w:tblGrid>
      <w:tr w:rsidR="00683D15">
        <w:tc>
          <w:tcPr>
            <w:tcW w:w="4230" w:type="dxa"/>
          </w:tcPr>
          <w:p w:rsidR="00683D15" w:rsidRPr="00B96646" w:rsidRDefault="00683D15">
            <w:pPr>
              <w:pStyle w:val="Heading1"/>
              <w:rPr>
                <w:rFonts w:ascii="Times New Roman" w:hAnsi="Times New Roman"/>
                <w:color w:val="000000"/>
                <w:kern w:val="28"/>
                <w:sz w:val="24"/>
                <w:szCs w:val="24"/>
              </w:rPr>
            </w:pPr>
            <w:r w:rsidRPr="000251D4">
              <w:rPr>
                <w:rFonts w:ascii="Times New Roman" w:hAnsi="Times New Roman"/>
                <w:color w:val="000000"/>
                <w:kern w:val="28"/>
                <w:sz w:val="24"/>
                <w:szCs w:val="24"/>
              </w:rPr>
              <w:t>1) Testimony</w:t>
            </w:r>
          </w:p>
        </w:tc>
        <w:tc>
          <w:tcPr>
            <w:tcW w:w="3960" w:type="dxa"/>
          </w:tcPr>
          <w:p w:rsidR="00683D15" w:rsidRPr="00B96646" w:rsidRDefault="00683D15">
            <w:pPr>
              <w:pStyle w:val="Heading1"/>
              <w:jc w:val="right"/>
              <w:rPr>
                <w:rFonts w:ascii="Times New Roman" w:hAnsi="Times New Roman"/>
                <w:color w:val="000000"/>
                <w:kern w:val="28"/>
                <w:sz w:val="24"/>
                <w:szCs w:val="24"/>
              </w:rPr>
            </w:pPr>
            <w:r w:rsidRPr="000251D4">
              <w:rPr>
                <w:rFonts w:ascii="Times New Roman" w:hAnsi="Times New Roman"/>
                <w:color w:val="000000"/>
                <w:kern w:val="28"/>
                <w:sz w:val="24"/>
                <w:szCs w:val="24"/>
              </w:rPr>
              <w:t>1</w:t>
            </w:r>
          </w:p>
        </w:tc>
      </w:tr>
      <w:tr w:rsidR="00683D15">
        <w:tc>
          <w:tcPr>
            <w:tcW w:w="4230" w:type="dxa"/>
          </w:tcPr>
          <w:p w:rsidR="00683D15" w:rsidRPr="00B96646" w:rsidRDefault="00683D15">
            <w:pPr>
              <w:pStyle w:val="Heading1"/>
              <w:rPr>
                <w:rFonts w:ascii="Times New Roman" w:hAnsi="Times New Roman"/>
                <w:color w:val="000000"/>
                <w:kern w:val="28"/>
                <w:sz w:val="24"/>
                <w:szCs w:val="24"/>
              </w:rPr>
            </w:pPr>
          </w:p>
        </w:tc>
        <w:tc>
          <w:tcPr>
            <w:tcW w:w="3960" w:type="dxa"/>
          </w:tcPr>
          <w:p w:rsidR="00683D15" w:rsidRPr="00B96646" w:rsidRDefault="00683D15">
            <w:pPr>
              <w:pStyle w:val="Heading1"/>
              <w:jc w:val="right"/>
              <w:rPr>
                <w:rFonts w:ascii="Times New Roman" w:hAnsi="Times New Roman"/>
                <w:color w:val="000000"/>
                <w:kern w:val="28"/>
                <w:sz w:val="24"/>
                <w:szCs w:val="24"/>
              </w:rPr>
            </w:pPr>
          </w:p>
        </w:tc>
      </w:tr>
      <w:tr w:rsidR="00683D15">
        <w:tc>
          <w:tcPr>
            <w:tcW w:w="4230" w:type="dxa"/>
          </w:tcPr>
          <w:p w:rsidR="00683D15" w:rsidRPr="00B96646" w:rsidRDefault="00683D15">
            <w:pPr>
              <w:pStyle w:val="Heading1"/>
              <w:rPr>
                <w:rFonts w:ascii="Times New Roman" w:hAnsi="Times New Roman"/>
                <w:color w:val="000000"/>
                <w:kern w:val="28"/>
                <w:sz w:val="24"/>
                <w:szCs w:val="24"/>
              </w:rPr>
            </w:pPr>
          </w:p>
        </w:tc>
        <w:tc>
          <w:tcPr>
            <w:tcW w:w="3960" w:type="dxa"/>
          </w:tcPr>
          <w:p w:rsidR="00683D15" w:rsidRPr="00B96646" w:rsidRDefault="00683D15">
            <w:pPr>
              <w:pStyle w:val="Heading1"/>
              <w:jc w:val="right"/>
              <w:rPr>
                <w:rFonts w:ascii="Times New Roman" w:hAnsi="Times New Roman"/>
                <w:color w:val="000000"/>
                <w:kern w:val="28"/>
                <w:sz w:val="24"/>
                <w:szCs w:val="24"/>
              </w:rPr>
            </w:pPr>
          </w:p>
        </w:tc>
      </w:tr>
      <w:tr w:rsidR="00683D15">
        <w:tc>
          <w:tcPr>
            <w:tcW w:w="4230" w:type="dxa"/>
          </w:tcPr>
          <w:p w:rsidR="00683D15" w:rsidRPr="00B96646" w:rsidRDefault="00683D15">
            <w:pPr>
              <w:pStyle w:val="Heading1"/>
              <w:rPr>
                <w:rFonts w:ascii="Times New Roman" w:hAnsi="Times New Roman"/>
                <w:color w:val="000000"/>
                <w:kern w:val="28"/>
                <w:sz w:val="24"/>
                <w:szCs w:val="24"/>
              </w:rPr>
            </w:pPr>
          </w:p>
        </w:tc>
        <w:tc>
          <w:tcPr>
            <w:tcW w:w="3960" w:type="dxa"/>
          </w:tcPr>
          <w:p w:rsidR="00683D15" w:rsidRPr="00B96646" w:rsidRDefault="00683D15">
            <w:pPr>
              <w:pStyle w:val="Heading1"/>
              <w:jc w:val="right"/>
              <w:rPr>
                <w:rFonts w:ascii="Times New Roman" w:hAnsi="Times New Roman"/>
                <w:color w:val="000000"/>
                <w:kern w:val="28"/>
                <w:sz w:val="24"/>
                <w:szCs w:val="24"/>
              </w:rPr>
            </w:pPr>
          </w:p>
        </w:tc>
      </w:tr>
      <w:tr w:rsidR="00683D15">
        <w:tc>
          <w:tcPr>
            <w:tcW w:w="4230" w:type="dxa"/>
          </w:tcPr>
          <w:p w:rsidR="00683D15" w:rsidRPr="00B96646" w:rsidRDefault="00683D15">
            <w:pPr>
              <w:pStyle w:val="Heading1"/>
              <w:rPr>
                <w:rFonts w:ascii="Times New Roman" w:hAnsi="Times New Roman"/>
                <w:color w:val="000000"/>
                <w:kern w:val="28"/>
                <w:sz w:val="24"/>
                <w:szCs w:val="24"/>
              </w:rPr>
            </w:pPr>
          </w:p>
        </w:tc>
        <w:tc>
          <w:tcPr>
            <w:tcW w:w="3960" w:type="dxa"/>
          </w:tcPr>
          <w:p w:rsidR="00683D15" w:rsidRPr="00B96646" w:rsidRDefault="00683D15">
            <w:pPr>
              <w:pStyle w:val="Heading1"/>
              <w:jc w:val="right"/>
              <w:rPr>
                <w:rFonts w:ascii="Times New Roman" w:hAnsi="Times New Roman"/>
                <w:color w:val="000000"/>
                <w:kern w:val="28"/>
                <w:sz w:val="24"/>
                <w:szCs w:val="24"/>
              </w:rPr>
            </w:pPr>
          </w:p>
        </w:tc>
      </w:tr>
      <w:tr w:rsidR="00683D15">
        <w:tc>
          <w:tcPr>
            <w:tcW w:w="4230" w:type="dxa"/>
          </w:tcPr>
          <w:p w:rsidR="00683D15" w:rsidRPr="00B96646" w:rsidRDefault="00683D15">
            <w:pPr>
              <w:pStyle w:val="Heading1"/>
              <w:rPr>
                <w:rFonts w:ascii="Times New Roman" w:hAnsi="Times New Roman"/>
                <w:color w:val="000000"/>
                <w:kern w:val="28"/>
                <w:sz w:val="24"/>
                <w:szCs w:val="24"/>
              </w:rPr>
            </w:pPr>
          </w:p>
        </w:tc>
        <w:tc>
          <w:tcPr>
            <w:tcW w:w="3960" w:type="dxa"/>
          </w:tcPr>
          <w:p w:rsidR="00683D15" w:rsidRPr="00B96646" w:rsidRDefault="00683D15">
            <w:pPr>
              <w:pStyle w:val="Heading1"/>
              <w:jc w:val="right"/>
              <w:rPr>
                <w:rFonts w:ascii="Times New Roman" w:hAnsi="Times New Roman"/>
                <w:color w:val="000000"/>
                <w:kern w:val="28"/>
                <w:sz w:val="24"/>
                <w:szCs w:val="24"/>
              </w:rPr>
            </w:pPr>
          </w:p>
        </w:tc>
      </w:tr>
      <w:tr w:rsidR="00683D15">
        <w:tc>
          <w:tcPr>
            <w:tcW w:w="4230" w:type="dxa"/>
          </w:tcPr>
          <w:p w:rsidR="00683D15" w:rsidRPr="00B96646" w:rsidRDefault="00683D15">
            <w:pPr>
              <w:pStyle w:val="Heading1"/>
              <w:rPr>
                <w:rFonts w:ascii="Times New Roman" w:hAnsi="Times New Roman"/>
                <w:color w:val="000000"/>
                <w:kern w:val="28"/>
                <w:sz w:val="24"/>
                <w:szCs w:val="24"/>
              </w:rPr>
            </w:pPr>
          </w:p>
        </w:tc>
        <w:tc>
          <w:tcPr>
            <w:tcW w:w="3960" w:type="dxa"/>
          </w:tcPr>
          <w:p w:rsidR="00683D15" w:rsidRPr="00B96646" w:rsidRDefault="00683D15">
            <w:pPr>
              <w:pStyle w:val="Heading1"/>
              <w:jc w:val="right"/>
              <w:rPr>
                <w:rFonts w:ascii="Times New Roman" w:hAnsi="Times New Roman"/>
                <w:color w:val="000000"/>
                <w:kern w:val="28"/>
                <w:sz w:val="24"/>
                <w:szCs w:val="24"/>
              </w:rPr>
            </w:pPr>
          </w:p>
        </w:tc>
      </w:tr>
      <w:tr w:rsidR="00683D15">
        <w:tc>
          <w:tcPr>
            <w:tcW w:w="4230" w:type="dxa"/>
          </w:tcPr>
          <w:p w:rsidR="00683D15" w:rsidRPr="00B96646" w:rsidRDefault="00683D15">
            <w:pPr>
              <w:pStyle w:val="Heading1"/>
              <w:rPr>
                <w:rFonts w:ascii="Times New Roman" w:hAnsi="Times New Roman"/>
                <w:color w:val="000000"/>
                <w:kern w:val="28"/>
                <w:sz w:val="24"/>
                <w:szCs w:val="24"/>
              </w:rPr>
            </w:pPr>
          </w:p>
        </w:tc>
        <w:tc>
          <w:tcPr>
            <w:tcW w:w="3960" w:type="dxa"/>
          </w:tcPr>
          <w:p w:rsidR="00683D15" w:rsidRPr="00B96646" w:rsidRDefault="00683D15">
            <w:pPr>
              <w:pStyle w:val="Heading1"/>
              <w:jc w:val="right"/>
              <w:rPr>
                <w:rFonts w:ascii="Times New Roman" w:hAnsi="Times New Roman"/>
                <w:color w:val="000000"/>
                <w:kern w:val="28"/>
                <w:sz w:val="24"/>
                <w:szCs w:val="24"/>
              </w:rPr>
            </w:pPr>
          </w:p>
        </w:tc>
      </w:tr>
    </w:tbl>
    <w:p w:rsidR="00683D15" w:rsidRDefault="00683D15">
      <w:pPr>
        <w:pStyle w:val="Heading1"/>
        <w:rPr>
          <w:color w:val="000000"/>
          <w:sz w:val="24"/>
          <w:szCs w:val="24"/>
        </w:rPr>
      </w:pPr>
    </w:p>
    <w:p w:rsidR="00683D15" w:rsidRDefault="00683D15">
      <w:pPr>
        <w:rPr>
          <w:b/>
          <w:bCs/>
          <w:color w:val="000000"/>
        </w:rPr>
      </w:pPr>
      <w:r>
        <w:rPr>
          <w:b/>
          <w:bCs/>
          <w:color w:val="000000"/>
        </w:rPr>
        <w:t>Attachment:</w:t>
      </w:r>
    </w:p>
    <w:p w:rsidR="00683D15" w:rsidRDefault="00683D15">
      <w:pPr>
        <w:rPr>
          <w:b/>
          <w:bCs/>
          <w:color w:val="000000"/>
        </w:rPr>
      </w:pPr>
      <w:r>
        <w:rPr>
          <w:b/>
          <w:bCs/>
          <w:color w:val="000000"/>
        </w:rPr>
        <w:t>Appendix TJN-1, Qualifications and Experience</w:t>
      </w:r>
    </w:p>
    <w:p w:rsidR="00D40EDD" w:rsidRDefault="00D40EDD" w:rsidP="00D40EDD">
      <w:pPr>
        <w:rPr>
          <w:b/>
          <w:bCs/>
          <w:color w:val="000000"/>
        </w:rPr>
      </w:pPr>
      <w:r>
        <w:rPr>
          <w:b/>
          <w:bCs/>
          <w:color w:val="000000"/>
        </w:rPr>
        <w:t xml:space="preserve"> </w:t>
      </w:r>
    </w:p>
    <w:p w:rsidR="00D40EDD" w:rsidRDefault="00D40EDD">
      <w:pPr>
        <w:rPr>
          <w:b/>
          <w:bCs/>
          <w:color w:val="000000"/>
        </w:rPr>
      </w:pPr>
    </w:p>
    <w:p w:rsidR="00D40EDD" w:rsidRDefault="00D40EDD">
      <w:pPr>
        <w:rPr>
          <w:b/>
          <w:bCs/>
          <w:color w:val="000000"/>
        </w:rPr>
      </w:pPr>
    </w:p>
    <w:p w:rsidR="00D40EDD" w:rsidRDefault="00D40EDD">
      <w:pPr>
        <w:rPr>
          <w:b/>
          <w:bCs/>
          <w:color w:val="000000"/>
        </w:rPr>
      </w:pPr>
    </w:p>
    <w:p w:rsidR="00683D15" w:rsidRDefault="00683D15">
      <w:pPr>
        <w:pStyle w:val="RegMargin"/>
        <w:jc w:val="center"/>
        <w:rPr>
          <w:color w:val="000000"/>
        </w:rPr>
        <w:sectPr w:rsidR="00683D15" w:rsidSect="00D40EDD">
          <w:pgSz w:w="12240" w:h="15840" w:code="1"/>
          <w:pgMar w:top="1440" w:right="1440" w:bottom="720" w:left="1440" w:header="1440" w:footer="720" w:gutter="0"/>
          <w:cols w:space="720"/>
          <w:titlePg/>
          <w:docGrid w:linePitch="360"/>
        </w:sectPr>
      </w:pPr>
    </w:p>
    <w:p w:rsidR="00683D15" w:rsidRDefault="00683D15">
      <w:pPr>
        <w:ind w:left="720" w:hanging="720"/>
        <w:jc w:val="center"/>
        <w:rPr>
          <w:b/>
          <w:bCs/>
          <w:color w:val="000000"/>
        </w:rPr>
      </w:pPr>
      <w:r>
        <w:rPr>
          <w:b/>
          <w:bCs/>
          <w:color w:val="000000"/>
        </w:rPr>
        <w:lastRenderedPageBreak/>
        <w:t>Before the</w:t>
      </w:r>
    </w:p>
    <w:p w:rsidR="00683D15" w:rsidRDefault="00683D15">
      <w:pPr>
        <w:ind w:left="720" w:hanging="720"/>
        <w:jc w:val="center"/>
        <w:rPr>
          <w:b/>
          <w:bCs/>
          <w:color w:val="000000"/>
        </w:rPr>
      </w:pPr>
      <w:smartTag w:uri="urn:schemas-microsoft-com:office:smarttags" w:element="place">
        <w:smartTag w:uri="urn:schemas-microsoft-com:office:smarttags" w:element="country-region">
          <w:r>
            <w:rPr>
              <w:b/>
              <w:bCs/>
              <w:color w:val="000000"/>
            </w:rPr>
            <w:t>Georgia</w:t>
          </w:r>
        </w:smartTag>
      </w:smartTag>
      <w:r>
        <w:rPr>
          <w:b/>
          <w:bCs/>
          <w:color w:val="000000"/>
        </w:rPr>
        <w:t xml:space="preserve"> Public Service Commission</w:t>
      </w:r>
    </w:p>
    <w:p w:rsidR="00683D15" w:rsidRDefault="00683D15">
      <w:pPr>
        <w:ind w:left="720" w:hanging="720"/>
        <w:jc w:val="center"/>
        <w:rPr>
          <w:b/>
          <w:bCs/>
          <w:color w:val="000000"/>
        </w:rPr>
      </w:pPr>
      <w:r>
        <w:rPr>
          <w:b/>
          <w:bCs/>
          <w:color w:val="000000"/>
        </w:rPr>
        <w:t xml:space="preserve">Docket No. </w:t>
      </w:r>
      <w:r w:rsidR="00704D3B">
        <w:rPr>
          <w:b/>
          <w:bCs/>
          <w:color w:val="000000"/>
        </w:rPr>
        <w:t>39638</w:t>
      </w:r>
    </w:p>
    <w:p w:rsidR="00683D15" w:rsidRDefault="00683D15">
      <w:pPr>
        <w:jc w:val="center"/>
        <w:rPr>
          <w:b/>
          <w:bCs/>
          <w:color w:val="000000"/>
        </w:rPr>
      </w:pPr>
    </w:p>
    <w:p w:rsidR="00683D15" w:rsidRDefault="00683D15">
      <w:pPr>
        <w:jc w:val="center"/>
        <w:rPr>
          <w:b/>
          <w:bCs/>
          <w:color w:val="000000"/>
        </w:rPr>
      </w:pPr>
      <w:r>
        <w:rPr>
          <w:b/>
          <w:bCs/>
          <w:color w:val="000000"/>
        </w:rPr>
        <w:t>DIRECT TESTIMONY OF</w:t>
      </w:r>
    </w:p>
    <w:p w:rsidR="00683D15" w:rsidRDefault="00683D15">
      <w:pPr>
        <w:jc w:val="center"/>
        <w:rPr>
          <w:b/>
          <w:bCs/>
          <w:color w:val="000000"/>
        </w:rPr>
      </w:pPr>
      <w:smartTag w:uri="urn:schemas-microsoft-com:office:smarttags" w:element="stockticker">
        <w:r>
          <w:rPr>
            <w:b/>
            <w:bCs/>
            <w:color w:val="000000"/>
          </w:rPr>
          <w:t>TOM</w:t>
        </w:r>
      </w:smartTag>
      <w:r>
        <w:rPr>
          <w:b/>
          <w:bCs/>
          <w:color w:val="000000"/>
        </w:rPr>
        <w:t xml:space="preserve"> J. NEWSOME, PE, CFA</w:t>
      </w:r>
    </w:p>
    <w:p w:rsidR="00683D15" w:rsidRDefault="00683D15">
      <w:pPr>
        <w:pBdr>
          <w:bottom w:val="single" w:sz="4" w:space="1" w:color="auto"/>
        </w:pBdr>
        <w:spacing w:line="480" w:lineRule="auto"/>
        <w:rPr>
          <w:color w:val="000000"/>
        </w:rPr>
      </w:pPr>
    </w:p>
    <w:p w:rsidR="00683D15" w:rsidRDefault="00683D15">
      <w:pPr>
        <w:rPr>
          <w:color w:val="000000"/>
        </w:rPr>
      </w:pPr>
    </w:p>
    <w:p w:rsidR="00683D15" w:rsidRDefault="00683D15">
      <w:pPr>
        <w:spacing w:line="480" w:lineRule="auto"/>
        <w:rPr>
          <w:b/>
          <w:bCs/>
          <w:color w:val="000000"/>
        </w:rPr>
      </w:pPr>
      <w:r>
        <w:rPr>
          <w:b/>
          <w:bCs/>
          <w:color w:val="000000"/>
        </w:rPr>
        <w:t>I.</w:t>
      </w:r>
      <w:r>
        <w:rPr>
          <w:b/>
          <w:bCs/>
          <w:color w:val="000000"/>
        </w:rPr>
        <w:tab/>
      </w:r>
      <w:r w:rsidR="00F37058" w:rsidRPr="00295863">
        <w:rPr>
          <w:b/>
          <w:bCs/>
          <w:color w:val="000000"/>
          <w:u w:val="single"/>
        </w:rPr>
        <w:t>I</w:t>
      </w:r>
      <w:r w:rsidR="00F37058">
        <w:rPr>
          <w:b/>
          <w:bCs/>
          <w:color w:val="000000"/>
          <w:u w:val="single"/>
        </w:rPr>
        <w:t>ntroduction</w:t>
      </w:r>
    </w:p>
    <w:p w:rsidR="007E4CB9" w:rsidRDefault="007E4CB9">
      <w:pPr>
        <w:spacing w:line="480" w:lineRule="auto"/>
        <w:rPr>
          <w:b/>
          <w:bCs/>
          <w:color w:val="000000"/>
        </w:rPr>
      </w:pPr>
    </w:p>
    <w:p w:rsidR="00683D15" w:rsidRDefault="00683D15">
      <w:pPr>
        <w:spacing w:line="480" w:lineRule="auto"/>
        <w:rPr>
          <w:b/>
          <w:bCs/>
          <w:color w:val="000000"/>
        </w:rPr>
      </w:pPr>
      <w:r>
        <w:rPr>
          <w:b/>
          <w:bCs/>
          <w:color w:val="000000"/>
        </w:rPr>
        <w:t>Q.</w:t>
      </w:r>
      <w:r>
        <w:rPr>
          <w:b/>
          <w:bCs/>
          <w:color w:val="000000"/>
        </w:rPr>
        <w:tab/>
      </w:r>
      <w:r w:rsidRPr="00895FAB">
        <w:rPr>
          <w:rFonts w:ascii="Times New Roman Bold" w:hAnsi="Times New Roman Bold" w:cs="Times New Roman Bold"/>
          <w:b/>
          <w:bCs/>
          <w:caps/>
          <w:color w:val="000000"/>
        </w:rPr>
        <w:t xml:space="preserve">What is your name, occupation </w:t>
      </w:r>
      <w:smartTag w:uri="urn:schemas-microsoft-com:office:smarttags" w:element="stockticker">
        <w:r w:rsidRPr="00895FAB">
          <w:rPr>
            <w:rFonts w:ascii="Times New Roman Bold" w:hAnsi="Times New Roman Bold" w:cs="Times New Roman Bold"/>
            <w:b/>
            <w:bCs/>
            <w:caps/>
            <w:color w:val="000000"/>
          </w:rPr>
          <w:t>and</w:t>
        </w:r>
      </w:smartTag>
      <w:r w:rsidRPr="00895FAB">
        <w:rPr>
          <w:rFonts w:ascii="Times New Roman Bold" w:hAnsi="Times New Roman Bold" w:cs="Times New Roman Bold"/>
          <w:b/>
          <w:bCs/>
          <w:caps/>
          <w:color w:val="000000"/>
        </w:rPr>
        <w:t xml:space="preserve"> business address?</w:t>
      </w:r>
    </w:p>
    <w:p w:rsidR="00683D15" w:rsidRDefault="00683D15">
      <w:pPr>
        <w:spacing w:line="480" w:lineRule="auto"/>
        <w:ind w:left="720" w:hanging="720"/>
        <w:rPr>
          <w:color w:val="000000"/>
        </w:rPr>
      </w:pPr>
      <w:r>
        <w:rPr>
          <w:color w:val="000000"/>
        </w:rPr>
        <w:t>A.</w:t>
      </w:r>
      <w:r>
        <w:rPr>
          <w:color w:val="000000"/>
        </w:rPr>
        <w:tab/>
        <w:t xml:space="preserve">My name is Tom J. Newsome. </w:t>
      </w:r>
      <w:r w:rsidR="005C00C3">
        <w:rPr>
          <w:color w:val="000000"/>
        </w:rPr>
        <w:t xml:space="preserve"> </w:t>
      </w:r>
      <w:r>
        <w:rPr>
          <w:color w:val="000000"/>
        </w:rPr>
        <w:t xml:space="preserve">I am the Director of Utility Finance with the Georgia Public Service Commission (“Commission”). </w:t>
      </w:r>
      <w:r w:rsidR="005C00C3">
        <w:rPr>
          <w:color w:val="000000"/>
        </w:rPr>
        <w:t xml:space="preserve"> </w:t>
      </w:r>
      <w:r>
        <w:rPr>
          <w:color w:val="000000"/>
        </w:rPr>
        <w:t xml:space="preserve">My business address is </w:t>
      </w:r>
      <w:smartTag w:uri="urn:schemas-microsoft-com:office:smarttags" w:element="address">
        <w:smartTag w:uri="urn:schemas-microsoft-com:office:smarttags" w:element="Street">
          <w:r>
            <w:rPr>
              <w:color w:val="000000"/>
            </w:rPr>
            <w:t>244 Washington St.</w:t>
          </w:r>
        </w:smartTag>
        <w:r>
          <w:rPr>
            <w:color w:val="000000"/>
          </w:rPr>
          <w:t xml:space="preserve">, </w:t>
        </w:r>
        <w:smartTag w:uri="urn:schemas-microsoft-com:office:smarttags" w:element="City">
          <w:r>
            <w:rPr>
              <w:color w:val="000000"/>
            </w:rPr>
            <w:t>Atlanta</w:t>
          </w:r>
        </w:smartTag>
        <w:r>
          <w:rPr>
            <w:color w:val="000000"/>
          </w:rPr>
          <w:t xml:space="preserve">, </w:t>
        </w:r>
        <w:smartTag w:uri="urn:schemas-microsoft-com:office:smarttags" w:element="country-region">
          <w:r>
            <w:rPr>
              <w:color w:val="000000"/>
            </w:rPr>
            <w:t>Georgia</w:t>
          </w:r>
        </w:smartTag>
      </w:smartTag>
      <w:r>
        <w:rPr>
          <w:color w:val="000000"/>
        </w:rPr>
        <w:t xml:space="preserve"> 30334.</w:t>
      </w:r>
    </w:p>
    <w:p w:rsidR="00683D15" w:rsidRDefault="00683D15" w:rsidP="00BE30F0">
      <w:pPr>
        <w:spacing w:line="480" w:lineRule="auto"/>
        <w:ind w:left="720" w:hanging="720"/>
        <w:rPr>
          <w:color w:val="000000"/>
        </w:rPr>
      </w:pPr>
      <w:r>
        <w:tab/>
      </w:r>
    </w:p>
    <w:p w:rsidR="00683D15" w:rsidRDefault="00683D15" w:rsidP="00895FAB">
      <w:pPr>
        <w:spacing w:line="480" w:lineRule="auto"/>
        <w:ind w:left="720" w:hanging="720"/>
        <w:rPr>
          <w:b/>
          <w:bCs/>
          <w:color w:val="000000"/>
        </w:rPr>
      </w:pPr>
      <w:r>
        <w:rPr>
          <w:b/>
          <w:bCs/>
          <w:color w:val="000000"/>
        </w:rPr>
        <w:t>Q.</w:t>
      </w:r>
      <w:r>
        <w:rPr>
          <w:b/>
          <w:bCs/>
          <w:color w:val="000000"/>
        </w:rPr>
        <w:tab/>
      </w:r>
      <w:r w:rsidRPr="00895FAB">
        <w:rPr>
          <w:rFonts w:ascii="Times New Roman Bold" w:hAnsi="Times New Roman Bold" w:cs="Times New Roman Bold"/>
          <w:b/>
          <w:bCs/>
          <w:caps/>
          <w:color w:val="000000"/>
        </w:rPr>
        <w:t xml:space="preserve">Have you </w:t>
      </w:r>
      <w:r w:rsidR="00EE7256">
        <w:rPr>
          <w:rFonts w:ascii="Times New Roman Bold" w:hAnsi="Times New Roman Bold" w:cs="Times New Roman Bold"/>
          <w:b/>
          <w:bCs/>
          <w:caps/>
          <w:color w:val="000000"/>
        </w:rPr>
        <w:t xml:space="preserve">PREPARED AN EXHIBIT THAT DESCRIBES YOUR QUALIFICATIONS </w:t>
      </w:r>
      <w:smartTag w:uri="urn:schemas-microsoft-com:office:smarttags" w:element="stockticker">
        <w:r w:rsidR="00EE7256">
          <w:rPr>
            <w:rFonts w:ascii="Times New Roman Bold" w:hAnsi="Times New Roman Bold" w:cs="Times New Roman Bold"/>
            <w:b/>
            <w:bCs/>
            <w:caps/>
            <w:color w:val="000000"/>
          </w:rPr>
          <w:t>AND</w:t>
        </w:r>
      </w:smartTag>
      <w:r w:rsidR="00EE7256">
        <w:rPr>
          <w:rFonts w:ascii="Times New Roman Bold" w:hAnsi="Times New Roman Bold" w:cs="Times New Roman Bold"/>
          <w:b/>
          <w:bCs/>
          <w:caps/>
          <w:color w:val="000000"/>
        </w:rPr>
        <w:t xml:space="preserve"> EXPERIENCE</w:t>
      </w:r>
      <w:r w:rsidRPr="00895FAB">
        <w:rPr>
          <w:rFonts w:ascii="Times New Roman Bold" w:hAnsi="Times New Roman Bold" w:cs="Times New Roman Bold"/>
          <w:b/>
          <w:bCs/>
          <w:caps/>
          <w:color w:val="000000"/>
        </w:rPr>
        <w:t>?</w:t>
      </w:r>
    </w:p>
    <w:p w:rsidR="00683D15" w:rsidRDefault="00683D15">
      <w:pPr>
        <w:spacing w:line="480" w:lineRule="auto"/>
        <w:ind w:left="720" w:hanging="720"/>
        <w:rPr>
          <w:color w:val="000000"/>
        </w:rPr>
      </w:pPr>
      <w:r>
        <w:rPr>
          <w:color w:val="000000"/>
        </w:rPr>
        <w:t>A.</w:t>
      </w:r>
      <w:r>
        <w:rPr>
          <w:color w:val="000000"/>
        </w:rPr>
        <w:tab/>
        <w:t xml:space="preserve">Yes.  I have attached </w:t>
      </w:r>
      <w:r w:rsidR="006E64B6">
        <w:rPr>
          <w:color w:val="000000"/>
        </w:rPr>
        <w:t xml:space="preserve">Exhibit </w:t>
      </w:r>
      <w:r>
        <w:rPr>
          <w:color w:val="000000"/>
        </w:rPr>
        <w:t>TJN-1, which summarizes my experience and qualifications.</w:t>
      </w:r>
      <w:r w:rsidR="006E64B6">
        <w:rPr>
          <w:color w:val="000000"/>
        </w:rPr>
        <w:t xml:space="preserve"> </w:t>
      </w:r>
    </w:p>
    <w:p w:rsidR="00683D15" w:rsidRDefault="00683D15">
      <w:pPr>
        <w:spacing w:line="480" w:lineRule="auto"/>
        <w:ind w:left="720" w:hanging="720"/>
        <w:rPr>
          <w:color w:val="000000"/>
        </w:rPr>
      </w:pPr>
    </w:p>
    <w:p w:rsidR="00683D15" w:rsidRDefault="00683D15" w:rsidP="00343862">
      <w:pPr>
        <w:spacing w:line="480" w:lineRule="auto"/>
        <w:ind w:left="720" w:hanging="720"/>
        <w:rPr>
          <w:b/>
          <w:bCs/>
          <w:color w:val="000000"/>
        </w:rPr>
      </w:pPr>
      <w:r>
        <w:rPr>
          <w:b/>
          <w:bCs/>
          <w:color w:val="000000"/>
        </w:rPr>
        <w:t>Q.</w:t>
      </w:r>
      <w:r>
        <w:rPr>
          <w:b/>
          <w:bCs/>
          <w:color w:val="000000"/>
        </w:rPr>
        <w:tab/>
        <w:t xml:space="preserve">MR. NEWSOME, </w:t>
      </w:r>
      <w:r w:rsidRPr="00895FAB">
        <w:rPr>
          <w:rFonts w:ascii="Times New Roman Bold" w:hAnsi="Times New Roman Bold" w:cs="Times New Roman Bold"/>
          <w:b/>
          <w:bCs/>
          <w:caps/>
          <w:color w:val="000000"/>
        </w:rPr>
        <w:t xml:space="preserve">Have you </w:t>
      </w:r>
      <w:r>
        <w:rPr>
          <w:rFonts w:ascii="Times New Roman Bold" w:hAnsi="Times New Roman Bold" w:cs="Times New Roman Bold"/>
          <w:b/>
          <w:bCs/>
          <w:caps/>
          <w:color w:val="000000"/>
        </w:rPr>
        <w:t xml:space="preserve">PREVIOUSLY Testified before the </w:t>
      </w:r>
      <w:smartTag w:uri="urn:schemas-microsoft-com:office:smarttags" w:element="place">
        <w:smartTag w:uri="urn:schemas-microsoft-com:office:smarttags" w:element="country-region">
          <w:r>
            <w:rPr>
              <w:rFonts w:ascii="Times New Roman Bold" w:hAnsi="Times New Roman Bold" w:cs="Times New Roman Bold"/>
              <w:b/>
              <w:bCs/>
              <w:caps/>
              <w:color w:val="000000"/>
            </w:rPr>
            <w:t>georgia</w:t>
          </w:r>
        </w:smartTag>
      </w:smartTag>
      <w:r>
        <w:rPr>
          <w:rFonts w:ascii="Times New Roman Bold" w:hAnsi="Times New Roman Bold" w:cs="Times New Roman Bold"/>
          <w:b/>
          <w:bCs/>
          <w:caps/>
          <w:color w:val="000000"/>
        </w:rPr>
        <w:t xml:space="preserve"> public service Commission</w:t>
      </w:r>
      <w:r w:rsidRPr="00895FAB">
        <w:rPr>
          <w:rFonts w:ascii="Times New Roman Bold" w:hAnsi="Times New Roman Bold" w:cs="Times New Roman Bold"/>
          <w:b/>
          <w:bCs/>
          <w:caps/>
          <w:color w:val="000000"/>
        </w:rPr>
        <w:t>?</w:t>
      </w:r>
    </w:p>
    <w:p w:rsidR="00683D15" w:rsidRDefault="00683D15" w:rsidP="00343862">
      <w:pPr>
        <w:spacing w:line="480" w:lineRule="auto"/>
        <w:ind w:left="720" w:hanging="720"/>
        <w:rPr>
          <w:color w:val="000000"/>
        </w:rPr>
      </w:pPr>
      <w:r>
        <w:rPr>
          <w:color w:val="000000"/>
        </w:rPr>
        <w:t>A.</w:t>
      </w:r>
      <w:r>
        <w:rPr>
          <w:color w:val="000000"/>
        </w:rPr>
        <w:tab/>
        <w:t xml:space="preserve">Yes.  I have testified in </w:t>
      </w:r>
      <w:r w:rsidR="00704D3B">
        <w:rPr>
          <w:color w:val="000000"/>
        </w:rPr>
        <w:t>eight</w:t>
      </w:r>
      <w:r>
        <w:rPr>
          <w:color w:val="000000"/>
        </w:rPr>
        <w:t xml:space="preserve"> Georgia Power </w:t>
      </w:r>
      <w:r w:rsidR="00AE2163">
        <w:rPr>
          <w:color w:val="000000"/>
        </w:rPr>
        <w:t xml:space="preserve">Company </w:t>
      </w:r>
      <w:r w:rsidR="00406639">
        <w:rPr>
          <w:color w:val="000000"/>
        </w:rPr>
        <w:t xml:space="preserve">(“Company” or “Georgia Power”) </w:t>
      </w:r>
      <w:r w:rsidR="00AE2163">
        <w:rPr>
          <w:color w:val="000000"/>
        </w:rPr>
        <w:t>proceedings</w:t>
      </w:r>
      <w:r>
        <w:rPr>
          <w:color w:val="000000"/>
        </w:rPr>
        <w:t xml:space="preserve"> before the Commission.  </w:t>
      </w:r>
      <w:r w:rsidRPr="00343862">
        <w:rPr>
          <w:color w:val="000000"/>
        </w:rPr>
        <w:t>In Docket</w:t>
      </w:r>
      <w:r>
        <w:rPr>
          <w:color w:val="000000"/>
        </w:rPr>
        <w:t xml:space="preserve"> No.</w:t>
      </w:r>
      <w:r w:rsidRPr="00343862">
        <w:rPr>
          <w:color w:val="000000"/>
        </w:rPr>
        <w:t xml:space="preserve"> 22403,</w:t>
      </w:r>
      <w:r w:rsidR="004257E4">
        <w:rPr>
          <w:color w:val="000000"/>
        </w:rPr>
        <w:t xml:space="preserve"> Georgia Power Company’s and Savannah Electric and Power Company’s Application to Increase the Fuel Cost Recovery Allowance (FCR-18 and FCR-18/S),</w:t>
      </w:r>
      <w:r w:rsidRPr="00343862">
        <w:rPr>
          <w:color w:val="000000"/>
        </w:rPr>
        <w:t xml:space="preserve"> </w:t>
      </w:r>
      <w:r>
        <w:rPr>
          <w:color w:val="000000"/>
        </w:rPr>
        <w:t xml:space="preserve">I </w:t>
      </w:r>
      <w:r w:rsidRPr="00343862">
        <w:rPr>
          <w:color w:val="000000"/>
        </w:rPr>
        <w:t>addressed Georgia Power Co</w:t>
      </w:r>
      <w:r>
        <w:rPr>
          <w:color w:val="000000"/>
        </w:rPr>
        <w:t>mpany</w:t>
      </w:r>
      <w:r w:rsidRPr="00343862">
        <w:rPr>
          <w:color w:val="000000"/>
        </w:rPr>
        <w:t xml:space="preserve">’s </w:t>
      </w:r>
      <w:r w:rsidRPr="00343862">
        <w:rPr>
          <w:color w:val="000000"/>
        </w:rPr>
        <w:lastRenderedPageBreak/>
        <w:t>natural gas hedging program</w:t>
      </w:r>
      <w:r w:rsidR="00785647">
        <w:rPr>
          <w:color w:val="000000"/>
        </w:rPr>
        <w:t>.</w:t>
      </w:r>
      <w:r w:rsidRPr="00343862">
        <w:rPr>
          <w:color w:val="000000"/>
        </w:rPr>
        <w:t xml:space="preserve"> </w:t>
      </w:r>
      <w:r w:rsidR="00785647">
        <w:rPr>
          <w:color w:val="000000"/>
        </w:rPr>
        <w:t>In</w:t>
      </w:r>
      <w:r w:rsidRPr="00343862">
        <w:rPr>
          <w:color w:val="000000"/>
        </w:rPr>
        <w:t xml:space="preserve"> Docket </w:t>
      </w:r>
      <w:r w:rsidR="005C00C3">
        <w:rPr>
          <w:color w:val="000000"/>
        </w:rPr>
        <w:t xml:space="preserve">No. </w:t>
      </w:r>
      <w:r w:rsidRPr="00343862">
        <w:rPr>
          <w:color w:val="000000"/>
        </w:rPr>
        <w:t>24506</w:t>
      </w:r>
      <w:r w:rsidR="00785647">
        <w:rPr>
          <w:color w:val="000000"/>
        </w:rPr>
        <w:t>, Georgia Power’s Application for Certification of Plant McDonough Units 4, 5 and 6 and the Decertification of</w:t>
      </w:r>
      <w:r w:rsidR="00785647" w:rsidRPr="00785647">
        <w:rPr>
          <w:color w:val="000000"/>
        </w:rPr>
        <w:t xml:space="preserve"> </w:t>
      </w:r>
      <w:r w:rsidR="00785647">
        <w:rPr>
          <w:color w:val="000000"/>
        </w:rPr>
        <w:t xml:space="preserve">Plant McDonough Units 1 and 2, </w:t>
      </w:r>
      <w:r>
        <w:rPr>
          <w:color w:val="000000"/>
        </w:rPr>
        <w:t xml:space="preserve">I </w:t>
      </w:r>
      <w:r w:rsidRPr="00343862">
        <w:rPr>
          <w:color w:val="000000"/>
        </w:rPr>
        <w:t xml:space="preserve">testified on the application of AFUDC accounting for calculating financing cost of capital projects. </w:t>
      </w:r>
      <w:r>
        <w:rPr>
          <w:color w:val="000000"/>
        </w:rPr>
        <w:t xml:space="preserve">In Docket No. 27800, </w:t>
      </w:r>
      <w:r w:rsidR="004257E4" w:rsidRPr="004257E4">
        <w:rPr>
          <w:color w:val="000000"/>
        </w:rPr>
        <w:t>Application for the Certification of Vogtle Generating Units 3 and 4</w:t>
      </w:r>
      <w:r>
        <w:rPr>
          <w:color w:val="000000"/>
        </w:rPr>
        <w:t xml:space="preserve">, I </w:t>
      </w:r>
      <w:r w:rsidRPr="00D97562">
        <w:rPr>
          <w:color w:val="000000"/>
        </w:rPr>
        <w:t>address</w:t>
      </w:r>
      <w:r>
        <w:rPr>
          <w:color w:val="000000"/>
        </w:rPr>
        <w:t>ed</w:t>
      </w:r>
      <w:r w:rsidRPr="00D97562">
        <w:rPr>
          <w:color w:val="000000"/>
        </w:rPr>
        <w:t xml:space="preserve"> the sources, impact and mitigation of financial risk from the construction and operation of </w:t>
      </w:r>
      <w:r>
        <w:rPr>
          <w:color w:val="000000"/>
        </w:rPr>
        <w:t xml:space="preserve">new nuclear units at </w:t>
      </w:r>
      <w:r w:rsidRPr="00D97562">
        <w:rPr>
          <w:color w:val="000000"/>
        </w:rPr>
        <w:t>Plant Vogtle</w:t>
      </w:r>
      <w:r>
        <w:rPr>
          <w:color w:val="000000"/>
        </w:rPr>
        <w:t xml:space="preserve">. </w:t>
      </w:r>
      <w:r w:rsidR="005C00C3">
        <w:rPr>
          <w:color w:val="000000"/>
        </w:rPr>
        <w:t xml:space="preserve"> </w:t>
      </w:r>
      <w:r>
        <w:rPr>
          <w:color w:val="000000"/>
        </w:rPr>
        <w:t xml:space="preserve">I testified in Docket No. 29849 concerning Georgia Power’s </w:t>
      </w:r>
      <w:r w:rsidR="005C00C3">
        <w:rPr>
          <w:color w:val="000000"/>
        </w:rPr>
        <w:t>F</w:t>
      </w:r>
      <w:r>
        <w:rPr>
          <w:color w:val="000000"/>
        </w:rPr>
        <w:t xml:space="preserve">irst </w:t>
      </w:r>
      <w:r w:rsidR="005C00C3">
        <w:rPr>
          <w:color w:val="000000"/>
        </w:rPr>
        <w:t>S</w:t>
      </w:r>
      <w:r>
        <w:rPr>
          <w:color w:val="000000"/>
        </w:rPr>
        <w:t xml:space="preserve">emi-annual </w:t>
      </w:r>
      <w:r w:rsidR="005C00C3">
        <w:rPr>
          <w:color w:val="000000"/>
        </w:rPr>
        <w:t>C</w:t>
      </w:r>
      <w:r>
        <w:rPr>
          <w:color w:val="000000"/>
        </w:rPr>
        <w:t xml:space="preserve">onstruction </w:t>
      </w:r>
      <w:r w:rsidR="005C00C3">
        <w:rPr>
          <w:color w:val="000000"/>
        </w:rPr>
        <w:t>M</w:t>
      </w:r>
      <w:r>
        <w:rPr>
          <w:color w:val="000000"/>
        </w:rPr>
        <w:t xml:space="preserve">onitoring </w:t>
      </w:r>
      <w:r w:rsidR="005C00C3">
        <w:rPr>
          <w:color w:val="000000"/>
        </w:rPr>
        <w:t>R</w:t>
      </w:r>
      <w:r>
        <w:rPr>
          <w:color w:val="000000"/>
        </w:rPr>
        <w:t>eport on Plant Vogtle</w:t>
      </w:r>
      <w:r w:rsidR="00C21B1B">
        <w:rPr>
          <w:color w:val="000000"/>
        </w:rPr>
        <w:t xml:space="preserve"> </w:t>
      </w:r>
      <w:r>
        <w:rPr>
          <w:color w:val="000000"/>
        </w:rPr>
        <w:t xml:space="preserve">expansion. </w:t>
      </w:r>
      <w:r w:rsidR="005C00C3">
        <w:rPr>
          <w:color w:val="000000"/>
        </w:rPr>
        <w:t xml:space="preserve"> </w:t>
      </w:r>
      <w:r>
        <w:rPr>
          <w:color w:val="000000"/>
        </w:rPr>
        <w:t xml:space="preserve">I </w:t>
      </w:r>
      <w:r w:rsidRPr="00D97562">
        <w:rPr>
          <w:color w:val="000000"/>
        </w:rPr>
        <w:t xml:space="preserve">evaluated the economic analysis performed by </w:t>
      </w:r>
      <w:r>
        <w:rPr>
          <w:color w:val="000000"/>
        </w:rPr>
        <w:t xml:space="preserve">Georgia Power </w:t>
      </w:r>
      <w:r w:rsidRPr="00D97562">
        <w:rPr>
          <w:color w:val="000000"/>
        </w:rPr>
        <w:t xml:space="preserve">and developed </w:t>
      </w:r>
      <w:r>
        <w:rPr>
          <w:color w:val="000000"/>
        </w:rPr>
        <w:t>Staff’s</w:t>
      </w:r>
      <w:r w:rsidRPr="00D97562">
        <w:rPr>
          <w:color w:val="000000"/>
        </w:rPr>
        <w:t xml:space="preserve"> own independent economic </w:t>
      </w:r>
      <w:r>
        <w:rPr>
          <w:color w:val="000000"/>
        </w:rPr>
        <w:t xml:space="preserve">and risk </w:t>
      </w:r>
      <w:r w:rsidRPr="00D97562">
        <w:rPr>
          <w:color w:val="000000"/>
        </w:rPr>
        <w:t>analysis of the Project</w:t>
      </w:r>
      <w:r>
        <w:rPr>
          <w:color w:val="000000"/>
        </w:rPr>
        <w:t xml:space="preserve">. In the </w:t>
      </w:r>
      <w:r w:rsidR="005C00C3">
        <w:rPr>
          <w:color w:val="000000"/>
        </w:rPr>
        <w:t>S</w:t>
      </w:r>
      <w:r>
        <w:rPr>
          <w:color w:val="000000"/>
        </w:rPr>
        <w:t xml:space="preserve">econd Vogtle </w:t>
      </w:r>
      <w:r w:rsidR="004257E4">
        <w:rPr>
          <w:color w:val="000000"/>
        </w:rPr>
        <w:t xml:space="preserve">Construction Monitoring </w:t>
      </w:r>
      <w:r w:rsidR="005C00C3">
        <w:rPr>
          <w:color w:val="000000"/>
        </w:rPr>
        <w:t>S</w:t>
      </w:r>
      <w:r>
        <w:rPr>
          <w:color w:val="000000"/>
        </w:rPr>
        <w:t xml:space="preserve">emi-annual hearing, I testified on the Company’s proposal to change how escalation on certain project cost was calculated (Amendment 3). </w:t>
      </w:r>
      <w:r w:rsidR="0096230B">
        <w:rPr>
          <w:color w:val="000000"/>
        </w:rPr>
        <w:t xml:space="preserve"> </w:t>
      </w:r>
      <w:r>
        <w:rPr>
          <w:color w:val="000000"/>
        </w:rPr>
        <w:t xml:space="preserve">In the </w:t>
      </w:r>
      <w:r w:rsidR="0096230B">
        <w:rPr>
          <w:color w:val="000000"/>
        </w:rPr>
        <w:t>T</w:t>
      </w:r>
      <w:r>
        <w:rPr>
          <w:color w:val="000000"/>
        </w:rPr>
        <w:t xml:space="preserve">hird Vogtle </w:t>
      </w:r>
      <w:r w:rsidR="0096230B">
        <w:rPr>
          <w:color w:val="000000"/>
        </w:rPr>
        <w:t>S</w:t>
      </w:r>
      <w:r>
        <w:rPr>
          <w:color w:val="000000"/>
        </w:rPr>
        <w:t>emiannual hearing</w:t>
      </w:r>
      <w:r w:rsidR="006246C3">
        <w:rPr>
          <w:color w:val="000000"/>
        </w:rPr>
        <w:t xml:space="preserve"> and in </w:t>
      </w:r>
      <w:r w:rsidR="00C21B1B">
        <w:rPr>
          <w:color w:val="000000"/>
        </w:rPr>
        <w:t xml:space="preserve">a </w:t>
      </w:r>
      <w:r w:rsidR="006246C3">
        <w:rPr>
          <w:color w:val="000000"/>
        </w:rPr>
        <w:t>separate proceeding</w:t>
      </w:r>
      <w:r w:rsidR="00D43CB4">
        <w:rPr>
          <w:color w:val="000000"/>
        </w:rPr>
        <w:t>,</w:t>
      </w:r>
      <w:r w:rsidR="006246C3">
        <w:rPr>
          <w:color w:val="000000"/>
        </w:rPr>
        <w:t xml:space="preserve"> Adoption of a Risk Sharing </w:t>
      </w:r>
      <w:r w:rsidR="001C08D2">
        <w:rPr>
          <w:color w:val="000000"/>
        </w:rPr>
        <w:t>Mechanism</w:t>
      </w:r>
      <w:r>
        <w:rPr>
          <w:color w:val="000000"/>
        </w:rPr>
        <w:t xml:space="preserve">, I testified on Staff’s revised risk sharing mechanism for Vogtle 3 &amp; 4. </w:t>
      </w:r>
      <w:r w:rsidR="0096230B">
        <w:rPr>
          <w:color w:val="000000"/>
        </w:rPr>
        <w:t xml:space="preserve"> </w:t>
      </w:r>
      <w:r>
        <w:rPr>
          <w:color w:val="000000"/>
        </w:rPr>
        <w:t>In Docket No. 28945 Fuel Cost Recovery</w:t>
      </w:r>
      <w:r w:rsidR="00406639">
        <w:rPr>
          <w:color w:val="000000"/>
        </w:rPr>
        <w:t xml:space="preserve"> FCR</w:t>
      </w:r>
      <w:r>
        <w:rPr>
          <w:color w:val="000000"/>
        </w:rPr>
        <w:t xml:space="preserve">–21, I testified on seasonal rates. </w:t>
      </w:r>
      <w:r w:rsidR="0096230B">
        <w:rPr>
          <w:color w:val="000000"/>
        </w:rPr>
        <w:t xml:space="preserve"> </w:t>
      </w:r>
      <w:r>
        <w:rPr>
          <w:color w:val="000000"/>
        </w:rPr>
        <w:t>I also presented cost of equity testimony in Atmos Energy Corporation’s Rate Case in Docket No. 30442 and Generic Proceeding to Implement House Bill 168 (small telephone companies) in Docket No. 32235.</w:t>
      </w:r>
      <w:r w:rsidR="00704D3B">
        <w:rPr>
          <w:color w:val="000000"/>
        </w:rPr>
        <w:t xml:space="preserve"> My most recent testimony before the Commission was in Georgia Power’s 2013 Base Rate Case in Docket 36989 on the Company’s projected cost of debt for 2014 – 2016.</w:t>
      </w:r>
    </w:p>
    <w:p w:rsidR="00683D15" w:rsidRDefault="00683D15" w:rsidP="00343862">
      <w:pPr>
        <w:spacing w:line="480" w:lineRule="auto"/>
        <w:ind w:left="720" w:hanging="720"/>
        <w:rPr>
          <w:color w:val="000000"/>
        </w:rPr>
      </w:pPr>
    </w:p>
    <w:p w:rsidR="00683D15" w:rsidRDefault="00683D15">
      <w:pPr>
        <w:spacing w:line="480" w:lineRule="auto"/>
        <w:rPr>
          <w:b/>
          <w:bCs/>
          <w:color w:val="000000"/>
        </w:rPr>
      </w:pPr>
      <w:r>
        <w:rPr>
          <w:b/>
          <w:bCs/>
          <w:color w:val="000000"/>
        </w:rPr>
        <w:t>Q.</w:t>
      </w:r>
      <w:r>
        <w:rPr>
          <w:b/>
          <w:bCs/>
          <w:color w:val="000000"/>
        </w:rPr>
        <w:tab/>
      </w:r>
      <w:r w:rsidRPr="00895FAB">
        <w:rPr>
          <w:rFonts w:ascii="Times New Roman Bold" w:hAnsi="Times New Roman Bold" w:cs="Times New Roman Bold"/>
          <w:b/>
          <w:bCs/>
          <w:caps/>
          <w:color w:val="000000"/>
        </w:rPr>
        <w:t xml:space="preserve">On whose behalf </w:t>
      </w:r>
      <w:smartTag w:uri="urn:schemas-microsoft-com:office:smarttags" w:element="stockticker">
        <w:r w:rsidRPr="00895FAB">
          <w:rPr>
            <w:rFonts w:ascii="Times New Roman Bold" w:hAnsi="Times New Roman Bold" w:cs="Times New Roman Bold"/>
            <w:b/>
            <w:bCs/>
            <w:caps/>
            <w:color w:val="000000"/>
          </w:rPr>
          <w:t>are</w:t>
        </w:r>
      </w:smartTag>
      <w:r w:rsidRPr="00895FAB">
        <w:rPr>
          <w:rFonts w:ascii="Times New Roman Bold" w:hAnsi="Times New Roman Bold" w:cs="Times New Roman Bold"/>
          <w:b/>
          <w:bCs/>
          <w:caps/>
          <w:color w:val="000000"/>
        </w:rPr>
        <w:t xml:space="preserve"> you appearing?</w:t>
      </w:r>
    </w:p>
    <w:p w:rsidR="00683D15" w:rsidRDefault="00683D15">
      <w:pPr>
        <w:spacing w:line="480" w:lineRule="auto"/>
        <w:ind w:left="720" w:hanging="720"/>
        <w:rPr>
          <w:color w:val="000000"/>
        </w:rPr>
      </w:pPr>
      <w:r>
        <w:rPr>
          <w:color w:val="000000"/>
        </w:rPr>
        <w:lastRenderedPageBreak/>
        <w:t>A.</w:t>
      </w:r>
      <w:r>
        <w:rPr>
          <w:color w:val="000000"/>
        </w:rPr>
        <w:tab/>
        <w:t>I am appearing on behalf of the Georgia Public Service Commission</w:t>
      </w:r>
      <w:r w:rsidR="006246C3">
        <w:rPr>
          <w:color w:val="000000"/>
        </w:rPr>
        <w:t xml:space="preserve"> Public Interest Advocacy Staff (“Staff”)</w:t>
      </w:r>
      <w:r>
        <w:rPr>
          <w:color w:val="000000"/>
        </w:rPr>
        <w:t xml:space="preserve">.  </w:t>
      </w:r>
    </w:p>
    <w:p w:rsidR="00683D15" w:rsidRDefault="00683D15">
      <w:pPr>
        <w:spacing w:line="480" w:lineRule="auto"/>
        <w:rPr>
          <w:color w:val="000000"/>
        </w:rPr>
      </w:pPr>
    </w:p>
    <w:p w:rsidR="00683D15" w:rsidRDefault="00683D15" w:rsidP="007C0D70">
      <w:pPr>
        <w:spacing w:line="480" w:lineRule="auto"/>
        <w:rPr>
          <w:b/>
          <w:bCs/>
          <w:color w:val="000000"/>
        </w:rPr>
      </w:pPr>
      <w:r>
        <w:rPr>
          <w:b/>
          <w:bCs/>
          <w:color w:val="000000"/>
        </w:rPr>
        <w:t>Q.</w:t>
      </w:r>
      <w:r>
        <w:rPr>
          <w:b/>
          <w:bCs/>
          <w:color w:val="000000"/>
        </w:rPr>
        <w:tab/>
      </w:r>
      <w:r w:rsidRPr="00895FAB">
        <w:rPr>
          <w:rFonts w:ascii="Times New Roman Bold" w:hAnsi="Times New Roman Bold" w:cs="Times New Roman Bold"/>
          <w:b/>
          <w:bCs/>
          <w:caps/>
          <w:color w:val="000000"/>
        </w:rPr>
        <w:t>What issue</w:t>
      </w:r>
      <w:r w:rsidR="00DC1AFD">
        <w:rPr>
          <w:rFonts w:ascii="Times New Roman Bold" w:hAnsi="Times New Roman Bold" w:cs="Times New Roman Bold"/>
          <w:b/>
          <w:bCs/>
          <w:caps/>
          <w:color w:val="000000"/>
        </w:rPr>
        <w:t>S</w:t>
      </w:r>
      <w:r w:rsidRPr="00895FAB">
        <w:rPr>
          <w:rFonts w:ascii="Times New Roman Bold" w:hAnsi="Times New Roman Bold" w:cs="Times New Roman Bold"/>
          <w:b/>
          <w:bCs/>
          <w:caps/>
          <w:color w:val="000000"/>
        </w:rPr>
        <w:t xml:space="preserve"> will you be addressing in your testimony?</w:t>
      </w:r>
    </w:p>
    <w:p w:rsidR="00683D15" w:rsidRDefault="00683D15" w:rsidP="00D909FB">
      <w:pPr>
        <w:spacing w:line="480" w:lineRule="auto"/>
        <w:ind w:left="720" w:hanging="720"/>
        <w:rPr>
          <w:color w:val="000000"/>
        </w:rPr>
      </w:pPr>
      <w:r>
        <w:rPr>
          <w:color w:val="000000"/>
        </w:rPr>
        <w:t>A.</w:t>
      </w:r>
      <w:r>
        <w:rPr>
          <w:color w:val="000000"/>
        </w:rPr>
        <w:tab/>
        <w:t xml:space="preserve">My testimony addresses </w:t>
      </w:r>
      <w:r w:rsidR="003C1C66">
        <w:rPr>
          <w:color w:val="000000"/>
        </w:rPr>
        <w:t xml:space="preserve">the </w:t>
      </w:r>
      <w:r w:rsidR="00D27FFA">
        <w:rPr>
          <w:color w:val="000000"/>
        </w:rPr>
        <w:t xml:space="preserve">Company’s </w:t>
      </w:r>
      <w:r w:rsidR="007B6238">
        <w:rPr>
          <w:color w:val="000000"/>
        </w:rPr>
        <w:t>natural gas hedging program</w:t>
      </w:r>
      <w:r w:rsidR="00785647">
        <w:rPr>
          <w:color w:val="000000"/>
        </w:rPr>
        <w:t>,</w:t>
      </w:r>
      <w:r w:rsidR="00D27FFA">
        <w:rPr>
          <w:color w:val="000000"/>
        </w:rPr>
        <w:t xml:space="preserve"> </w:t>
      </w:r>
      <w:r w:rsidR="007B6238">
        <w:rPr>
          <w:color w:val="000000"/>
        </w:rPr>
        <w:t>Interim Fuel Rider (“IFR”) mechanism</w:t>
      </w:r>
      <w:r w:rsidR="00D27FFA">
        <w:rPr>
          <w:color w:val="000000"/>
        </w:rPr>
        <w:t>,</w:t>
      </w:r>
      <w:r w:rsidR="007B6238">
        <w:rPr>
          <w:color w:val="000000"/>
        </w:rPr>
        <w:t xml:space="preserve"> </w:t>
      </w:r>
      <w:r w:rsidR="00785647">
        <w:rPr>
          <w:color w:val="000000"/>
        </w:rPr>
        <w:t>the filing date of next fuel case and the recovery of certain pollution abatement commodities under FCR rates</w:t>
      </w:r>
      <w:r w:rsidR="007B6238">
        <w:rPr>
          <w:color w:val="000000"/>
        </w:rPr>
        <w:t>.</w:t>
      </w:r>
      <w:r w:rsidR="00BF01AA">
        <w:rPr>
          <w:color w:val="000000"/>
        </w:rPr>
        <w:t xml:space="preserve"> </w:t>
      </w:r>
    </w:p>
    <w:p w:rsidR="00F37058" w:rsidRDefault="00F37058" w:rsidP="00D909FB">
      <w:pPr>
        <w:spacing w:line="480" w:lineRule="auto"/>
        <w:ind w:left="720" w:hanging="720"/>
        <w:rPr>
          <w:color w:val="000000"/>
        </w:rPr>
      </w:pPr>
    </w:p>
    <w:p w:rsidR="00F37058" w:rsidRPr="00683D15" w:rsidRDefault="00F37058" w:rsidP="00F37058">
      <w:pPr>
        <w:spacing w:line="480" w:lineRule="auto"/>
        <w:ind w:left="720" w:hanging="720"/>
        <w:rPr>
          <w:b/>
          <w:bCs/>
          <w:u w:val="single"/>
        </w:rPr>
      </w:pPr>
      <w:r>
        <w:rPr>
          <w:b/>
          <w:bCs/>
        </w:rPr>
        <w:t>II.</w:t>
      </w:r>
      <w:r>
        <w:rPr>
          <w:b/>
          <w:bCs/>
        </w:rPr>
        <w:tab/>
      </w:r>
      <w:r w:rsidR="00AE7169">
        <w:rPr>
          <w:b/>
          <w:bCs/>
          <w:color w:val="000000"/>
          <w:u w:val="single"/>
        </w:rPr>
        <w:t>Natural Gas Hedging Program</w:t>
      </w:r>
      <w:r w:rsidR="00300A25">
        <w:rPr>
          <w:b/>
          <w:bCs/>
          <w:color w:val="000000"/>
          <w:u w:val="single"/>
        </w:rPr>
        <w:t xml:space="preserve"> </w:t>
      </w:r>
      <w:r w:rsidR="00B52626">
        <w:rPr>
          <w:b/>
          <w:bCs/>
          <w:color w:val="000000"/>
          <w:u w:val="single"/>
        </w:rPr>
        <w:t xml:space="preserve"> </w:t>
      </w:r>
    </w:p>
    <w:p w:rsidR="00F37058" w:rsidRDefault="00F37058" w:rsidP="00F37058">
      <w:pPr>
        <w:spacing w:line="480" w:lineRule="auto"/>
        <w:ind w:left="720" w:hanging="720"/>
        <w:rPr>
          <w:b/>
          <w:bCs/>
        </w:rPr>
      </w:pPr>
    </w:p>
    <w:p w:rsidR="00487FF8" w:rsidRDefault="00487FF8" w:rsidP="00487FF8">
      <w:pPr>
        <w:spacing w:line="480" w:lineRule="auto"/>
        <w:ind w:left="720" w:hanging="720"/>
        <w:rPr>
          <w:b/>
          <w:bCs/>
        </w:rPr>
      </w:pPr>
      <w:r>
        <w:rPr>
          <w:b/>
          <w:bCs/>
        </w:rPr>
        <w:t>Q.</w:t>
      </w:r>
      <w:r>
        <w:rPr>
          <w:b/>
          <w:bCs/>
        </w:rPr>
        <w:tab/>
        <w:t>WHAT IS THE GENERAL PURPOSE OF A HEDGING PROGRAM?</w:t>
      </w:r>
    </w:p>
    <w:p w:rsidR="00487FF8" w:rsidRDefault="00487FF8" w:rsidP="00487FF8">
      <w:pPr>
        <w:spacing w:line="480" w:lineRule="auto"/>
        <w:ind w:left="720" w:hanging="720"/>
        <w:rPr>
          <w:bCs/>
        </w:rPr>
      </w:pPr>
      <w:r>
        <w:rPr>
          <w:b/>
          <w:bCs/>
        </w:rPr>
        <w:t>A.</w:t>
      </w:r>
      <w:r>
        <w:rPr>
          <w:b/>
          <w:bCs/>
        </w:rPr>
        <w:tab/>
      </w:r>
      <w:r w:rsidR="00C21B1B">
        <w:rPr>
          <w:bCs/>
        </w:rPr>
        <w:t>The goal of a hedging program is t</w:t>
      </w:r>
      <w:r>
        <w:rPr>
          <w:bCs/>
        </w:rPr>
        <w:t xml:space="preserve">o reduce the uncertainty about the prospective </w:t>
      </w:r>
      <w:r w:rsidR="00F37E11">
        <w:rPr>
          <w:bCs/>
        </w:rPr>
        <w:t>price</w:t>
      </w:r>
      <w:r>
        <w:rPr>
          <w:bCs/>
        </w:rPr>
        <w:t xml:space="preserve"> of natural gas to be consumed for electric generation.</w:t>
      </w:r>
    </w:p>
    <w:p w:rsidR="00487FF8" w:rsidRDefault="00487FF8" w:rsidP="00487FF8">
      <w:pPr>
        <w:spacing w:line="480" w:lineRule="auto"/>
        <w:ind w:left="720" w:hanging="720"/>
        <w:rPr>
          <w:bCs/>
        </w:rPr>
      </w:pPr>
    </w:p>
    <w:p w:rsidR="00487FF8" w:rsidRDefault="00487FF8" w:rsidP="00487FF8">
      <w:pPr>
        <w:spacing w:line="480" w:lineRule="auto"/>
        <w:ind w:left="720" w:hanging="720"/>
        <w:rPr>
          <w:b/>
          <w:bCs/>
        </w:rPr>
      </w:pPr>
      <w:r>
        <w:rPr>
          <w:b/>
          <w:bCs/>
        </w:rPr>
        <w:t>Q.</w:t>
      </w:r>
      <w:r>
        <w:rPr>
          <w:b/>
          <w:bCs/>
        </w:rPr>
        <w:tab/>
        <w:t xml:space="preserve">HOW DOES </w:t>
      </w:r>
      <w:r w:rsidR="00C21B1B">
        <w:rPr>
          <w:b/>
          <w:bCs/>
        </w:rPr>
        <w:t xml:space="preserve">A </w:t>
      </w:r>
      <w:r>
        <w:rPr>
          <w:b/>
          <w:bCs/>
        </w:rPr>
        <w:t xml:space="preserve">HEDGING PROGRAM </w:t>
      </w:r>
      <w:r w:rsidR="00C21B1B">
        <w:rPr>
          <w:b/>
          <w:bCs/>
        </w:rPr>
        <w:t xml:space="preserve">TYPICALLY </w:t>
      </w:r>
      <w:r>
        <w:rPr>
          <w:b/>
          <w:bCs/>
        </w:rPr>
        <w:t>WORK?</w:t>
      </w:r>
    </w:p>
    <w:p w:rsidR="00487FF8" w:rsidRDefault="00487FF8" w:rsidP="00487FF8">
      <w:pPr>
        <w:spacing w:line="480" w:lineRule="auto"/>
        <w:ind w:left="720" w:hanging="720"/>
        <w:rPr>
          <w:bCs/>
        </w:rPr>
      </w:pPr>
      <w:r>
        <w:rPr>
          <w:b/>
          <w:bCs/>
        </w:rPr>
        <w:t>A.</w:t>
      </w:r>
      <w:r>
        <w:rPr>
          <w:b/>
          <w:bCs/>
        </w:rPr>
        <w:tab/>
      </w:r>
      <w:r>
        <w:rPr>
          <w:bCs/>
        </w:rPr>
        <w:t xml:space="preserve">The utility uses certain </w:t>
      </w:r>
      <w:r w:rsidR="00F37E11">
        <w:rPr>
          <w:bCs/>
        </w:rPr>
        <w:t>financial</w:t>
      </w:r>
      <w:r>
        <w:rPr>
          <w:bCs/>
        </w:rPr>
        <w:t xml:space="preserve"> instruments</w:t>
      </w:r>
      <w:r w:rsidR="00F37E11">
        <w:rPr>
          <w:bCs/>
        </w:rPr>
        <w:t xml:space="preserve"> in conjunction with the purchase of physical natural gas either to cap or fix the price for natural gas to be consumed in the future. </w:t>
      </w:r>
      <w:r w:rsidR="00B85BDA">
        <w:rPr>
          <w:bCs/>
        </w:rPr>
        <w:t xml:space="preserve">The two primary financial instruments are call options and swaps. </w:t>
      </w:r>
      <w:r w:rsidR="00F37E11">
        <w:rPr>
          <w:bCs/>
        </w:rPr>
        <w:t>Call option</w:t>
      </w:r>
      <w:r w:rsidR="00B85BDA">
        <w:rPr>
          <w:bCs/>
        </w:rPr>
        <w:t>s</w:t>
      </w:r>
      <w:r w:rsidR="00F37E11">
        <w:rPr>
          <w:bCs/>
        </w:rPr>
        <w:t xml:space="preserve"> are used to cap the price of natural gas while swaps are used to fix the price</w:t>
      </w:r>
      <w:r w:rsidR="00F37E11" w:rsidRPr="00F37E11">
        <w:rPr>
          <w:bCs/>
        </w:rPr>
        <w:t xml:space="preserve"> </w:t>
      </w:r>
      <w:r w:rsidR="00F37E11">
        <w:rPr>
          <w:bCs/>
        </w:rPr>
        <w:t>of natural gas.</w:t>
      </w:r>
    </w:p>
    <w:p w:rsidR="00F37E11" w:rsidRDefault="00F37E11" w:rsidP="00487FF8">
      <w:pPr>
        <w:spacing w:line="480" w:lineRule="auto"/>
        <w:ind w:left="720" w:hanging="720"/>
        <w:rPr>
          <w:b/>
          <w:bCs/>
        </w:rPr>
      </w:pPr>
    </w:p>
    <w:p w:rsidR="00F37E11" w:rsidRDefault="00F37E11" w:rsidP="00F37E11">
      <w:pPr>
        <w:spacing w:line="480" w:lineRule="auto"/>
        <w:ind w:left="720" w:hanging="720"/>
        <w:rPr>
          <w:b/>
          <w:bCs/>
        </w:rPr>
      </w:pPr>
      <w:r>
        <w:rPr>
          <w:b/>
          <w:bCs/>
        </w:rPr>
        <w:t>Q.</w:t>
      </w:r>
      <w:r>
        <w:rPr>
          <w:b/>
          <w:bCs/>
        </w:rPr>
        <w:tab/>
        <w:t>HOW DO CALL OPTIONS REDUCE UNCERTAINTY OF PROSPECTIVE NATURAL GAS PRICES?</w:t>
      </w:r>
    </w:p>
    <w:p w:rsidR="00B85B62" w:rsidRDefault="00F37E11" w:rsidP="00F37E11">
      <w:pPr>
        <w:spacing w:line="480" w:lineRule="auto"/>
        <w:ind w:left="720" w:hanging="720"/>
        <w:rPr>
          <w:bCs/>
        </w:rPr>
      </w:pPr>
      <w:r>
        <w:rPr>
          <w:b/>
          <w:bCs/>
        </w:rPr>
        <w:lastRenderedPageBreak/>
        <w:t>A.</w:t>
      </w:r>
      <w:r>
        <w:rPr>
          <w:b/>
          <w:bCs/>
        </w:rPr>
        <w:tab/>
      </w:r>
      <w:r w:rsidR="00B85B62">
        <w:rPr>
          <w:bCs/>
        </w:rPr>
        <w:t xml:space="preserve">A call option reduces the uncertainty of prospective natural gas prices by placing a cap </w:t>
      </w:r>
      <w:r w:rsidR="00C21B1B">
        <w:rPr>
          <w:bCs/>
        </w:rPr>
        <w:t xml:space="preserve">on </w:t>
      </w:r>
      <w:r w:rsidR="00B85B62">
        <w:rPr>
          <w:bCs/>
        </w:rPr>
        <w:t xml:space="preserve">the price paid by the utility. </w:t>
      </w:r>
      <w:r>
        <w:rPr>
          <w:bCs/>
        </w:rPr>
        <w:t xml:space="preserve">A call option functions similarly to traditional insurance. </w:t>
      </w:r>
      <w:r w:rsidR="00BC767C">
        <w:rPr>
          <w:bCs/>
        </w:rPr>
        <w:t xml:space="preserve">The purchaser of traditional insurance receives a payout under </w:t>
      </w:r>
      <w:r w:rsidR="00B85B62">
        <w:rPr>
          <w:bCs/>
        </w:rPr>
        <w:t xml:space="preserve">certain </w:t>
      </w:r>
      <w:r w:rsidR="00BC767C">
        <w:rPr>
          <w:bCs/>
        </w:rPr>
        <w:t>circumstances such as</w:t>
      </w:r>
      <w:r w:rsidR="00B85B62">
        <w:rPr>
          <w:bCs/>
        </w:rPr>
        <w:t xml:space="preserve"> a</w:t>
      </w:r>
      <w:r w:rsidR="00BC767C">
        <w:rPr>
          <w:bCs/>
        </w:rPr>
        <w:t xml:space="preserve"> property loss. The purchaser of a call option receive</w:t>
      </w:r>
      <w:r w:rsidR="00B85B62">
        <w:rPr>
          <w:bCs/>
        </w:rPr>
        <w:t>s</w:t>
      </w:r>
      <w:r w:rsidR="00BC767C">
        <w:rPr>
          <w:bCs/>
        </w:rPr>
        <w:t xml:space="preserve"> a payout if natural gas prices rise above a certain predetermined price or strike price. </w:t>
      </w:r>
      <w:r w:rsidR="00F241F8">
        <w:rPr>
          <w:bCs/>
        </w:rPr>
        <w:t xml:space="preserve">The utility </w:t>
      </w:r>
      <w:r>
        <w:rPr>
          <w:bCs/>
        </w:rPr>
        <w:t>would purchase a call option from a counterparty</w:t>
      </w:r>
      <w:r w:rsidR="00B85B62">
        <w:rPr>
          <w:bCs/>
        </w:rPr>
        <w:t xml:space="preserve"> such as </w:t>
      </w:r>
      <w:r w:rsidR="00C21B1B">
        <w:rPr>
          <w:bCs/>
        </w:rPr>
        <w:t xml:space="preserve">a </w:t>
      </w:r>
      <w:r w:rsidR="00B85B62">
        <w:rPr>
          <w:bCs/>
        </w:rPr>
        <w:t>bank</w:t>
      </w:r>
      <w:r w:rsidR="00BC767C">
        <w:rPr>
          <w:bCs/>
        </w:rPr>
        <w:t xml:space="preserve">. </w:t>
      </w:r>
      <w:r w:rsidR="00B85B62">
        <w:rPr>
          <w:bCs/>
        </w:rPr>
        <w:t xml:space="preserve">The cost of the call option can be thought of as an insurance premium paid by the utility. </w:t>
      </w:r>
      <w:r w:rsidR="00BC767C">
        <w:rPr>
          <w:bCs/>
        </w:rPr>
        <w:t>The call option purchase cost</w:t>
      </w:r>
      <w:r w:rsidR="006026E1">
        <w:rPr>
          <w:bCs/>
        </w:rPr>
        <w:t xml:space="preserve"> </w:t>
      </w:r>
      <w:r w:rsidR="00BC767C">
        <w:rPr>
          <w:bCs/>
        </w:rPr>
        <w:t xml:space="preserve">is agreed to before the utility purchases the call option. The counterparty keeps the payment from </w:t>
      </w:r>
      <w:r w:rsidR="00171336">
        <w:rPr>
          <w:bCs/>
        </w:rPr>
        <w:t>the</w:t>
      </w:r>
      <w:r w:rsidR="00BC767C">
        <w:rPr>
          <w:bCs/>
        </w:rPr>
        <w:t xml:space="preserve"> utility but agrees to reimburse the </w:t>
      </w:r>
      <w:r w:rsidR="00B85B62">
        <w:rPr>
          <w:bCs/>
        </w:rPr>
        <w:t>utility</w:t>
      </w:r>
      <w:r w:rsidR="00BC767C">
        <w:rPr>
          <w:bCs/>
        </w:rPr>
        <w:t xml:space="preserve"> if the price of natural gas rise</w:t>
      </w:r>
      <w:r w:rsidR="006824D7">
        <w:rPr>
          <w:bCs/>
        </w:rPr>
        <w:t>s</w:t>
      </w:r>
      <w:r w:rsidR="00BC767C">
        <w:rPr>
          <w:bCs/>
        </w:rPr>
        <w:t xml:space="preserve"> above </w:t>
      </w:r>
      <w:r w:rsidR="006824D7">
        <w:rPr>
          <w:bCs/>
        </w:rPr>
        <w:t xml:space="preserve">a </w:t>
      </w:r>
      <w:r w:rsidR="00BC767C">
        <w:rPr>
          <w:bCs/>
        </w:rPr>
        <w:t>set price (strike price).</w:t>
      </w:r>
      <w:r w:rsidR="00B85B62">
        <w:rPr>
          <w:bCs/>
        </w:rPr>
        <w:t xml:space="preserve"> If the price of natural gas is equal to or less than the strike price there is no payment from the counterparty to the utility.</w:t>
      </w:r>
    </w:p>
    <w:p w:rsidR="00B85B62" w:rsidRPr="00B85B62" w:rsidRDefault="00B85B62" w:rsidP="00F37E11">
      <w:pPr>
        <w:spacing w:line="480" w:lineRule="auto"/>
        <w:ind w:left="720" w:hanging="720"/>
        <w:rPr>
          <w:bCs/>
        </w:rPr>
      </w:pPr>
      <w:r>
        <w:rPr>
          <w:b/>
          <w:bCs/>
        </w:rPr>
        <w:tab/>
      </w:r>
    </w:p>
    <w:p w:rsidR="001C2282" w:rsidRDefault="00765CEC" w:rsidP="00F37E11">
      <w:pPr>
        <w:spacing w:line="480" w:lineRule="auto"/>
        <w:ind w:left="720" w:hanging="720"/>
        <w:rPr>
          <w:bCs/>
        </w:rPr>
      </w:pPr>
      <w:r w:rsidRPr="00765CEC">
        <w:rPr>
          <w:bCs/>
        </w:rPr>
        <w:tab/>
        <w:t>A simple example would be</w:t>
      </w:r>
      <w:r w:rsidR="00B85B62">
        <w:rPr>
          <w:bCs/>
        </w:rPr>
        <w:t xml:space="preserve"> for the utility to purchase a call option</w:t>
      </w:r>
      <w:r w:rsidR="00EF0EAD">
        <w:rPr>
          <w:bCs/>
        </w:rPr>
        <w:t xml:space="preserve"> with a premium of $0.50 and</w:t>
      </w:r>
      <w:r w:rsidR="00B85B62">
        <w:rPr>
          <w:bCs/>
        </w:rPr>
        <w:t xml:space="preserve"> </w:t>
      </w:r>
      <w:r w:rsidR="001C2282">
        <w:rPr>
          <w:bCs/>
        </w:rPr>
        <w:t xml:space="preserve">a strike price of $5 for gas delivered and consumed in August 2016. If the cost of gas is $6 in August 2016 then the utility would receive $1 from the counterparty for the difference between the cost of natural gas ($6) and the strike price ($5). The $1 payment from the counterparty would be netted against the $6 spent on physical natural gas </w:t>
      </w:r>
      <w:r w:rsidR="00AC5F17">
        <w:rPr>
          <w:bCs/>
        </w:rPr>
        <w:t xml:space="preserve">and the 50 cent call option premium for a net cost </w:t>
      </w:r>
      <w:r w:rsidR="001C2282">
        <w:rPr>
          <w:bCs/>
        </w:rPr>
        <w:t>$5.</w:t>
      </w:r>
      <w:r w:rsidR="00AC5F17">
        <w:rPr>
          <w:bCs/>
        </w:rPr>
        <w:t>50.</w:t>
      </w:r>
      <w:r w:rsidR="006824D7">
        <w:rPr>
          <w:bCs/>
        </w:rPr>
        <w:t xml:space="preserve"> Regardless of how high natural gas price rises above the $5 strike price the net cost is capped at $5.50.</w:t>
      </w:r>
    </w:p>
    <w:p w:rsidR="001C2282" w:rsidRDefault="001C2282" w:rsidP="00F37E11">
      <w:pPr>
        <w:spacing w:line="480" w:lineRule="auto"/>
        <w:ind w:left="720" w:hanging="720"/>
        <w:rPr>
          <w:bCs/>
        </w:rPr>
      </w:pPr>
    </w:p>
    <w:p w:rsidR="006824D7" w:rsidRDefault="001C2282" w:rsidP="00F37E11">
      <w:pPr>
        <w:spacing w:line="480" w:lineRule="auto"/>
        <w:ind w:left="720" w:hanging="720"/>
        <w:rPr>
          <w:bCs/>
        </w:rPr>
      </w:pPr>
      <w:r>
        <w:rPr>
          <w:bCs/>
        </w:rPr>
        <w:tab/>
        <w:t xml:space="preserve">In this same example if the cost of gas is $4 in August 2016 then the utility would </w:t>
      </w:r>
      <w:r w:rsidR="006824D7">
        <w:rPr>
          <w:bCs/>
        </w:rPr>
        <w:t xml:space="preserve">receive </w:t>
      </w:r>
      <w:r>
        <w:rPr>
          <w:bCs/>
        </w:rPr>
        <w:t xml:space="preserve">no payment from the counterparty. The utility would spend $4 on physical natural gas </w:t>
      </w:r>
      <w:r w:rsidR="006824D7">
        <w:rPr>
          <w:bCs/>
        </w:rPr>
        <w:lastRenderedPageBreak/>
        <w:t xml:space="preserve">and the 50 cent call option premium for a net cost $4.50. If the cost of gas is $3 in August 2016 then </w:t>
      </w:r>
      <w:r w:rsidR="00E4722D">
        <w:rPr>
          <w:bCs/>
        </w:rPr>
        <w:t xml:space="preserve">the </w:t>
      </w:r>
      <w:r w:rsidR="006824D7">
        <w:rPr>
          <w:bCs/>
        </w:rPr>
        <w:t>net cost would be $3.50.</w:t>
      </w:r>
    </w:p>
    <w:p w:rsidR="006824D7" w:rsidRDefault="006824D7" w:rsidP="00F37E11">
      <w:pPr>
        <w:spacing w:line="480" w:lineRule="auto"/>
        <w:ind w:left="720" w:hanging="720"/>
        <w:rPr>
          <w:bCs/>
        </w:rPr>
      </w:pPr>
    </w:p>
    <w:p w:rsidR="00F37E11" w:rsidRPr="00B85B62" w:rsidRDefault="006824D7" w:rsidP="00F37E11">
      <w:pPr>
        <w:spacing w:line="480" w:lineRule="auto"/>
        <w:ind w:left="720" w:hanging="720"/>
        <w:rPr>
          <w:bCs/>
        </w:rPr>
      </w:pPr>
      <w:r>
        <w:rPr>
          <w:bCs/>
        </w:rPr>
        <w:tab/>
        <w:t>By placing a cap on the net price of natural gas</w:t>
      </w:r>
      <w:r w:rsidR="00E4722D">
        <w:rPr>
          <w:bCs/>
        </w:rPr>
        <w:t>,</w:t>
      </w:r>
      <w:r>
        <w:rPr>
          <w:bCs/>
        </w:rPr>
        <w:t xml:space="preserve"> a call option </w:t>
      </w:r>
      <w:r w:rsidR="00B85BDA">
        <w:rPr>
          <w:bCs/>
        </w:rPr>
        <w:t>reduces the</w:t>
      </w:r>
      <w:r>
        <w:rPr>
          <w:bCs/>
        </w:rPr>
        <w:t xml:space="preserve"> uncertainty of the prospective price of natural gas.</w:t>
      </w:r>
    </w:p>
    <w:p w:rsidR="00487FF8" w:rsidRDefault="00487FF8" w:rsidP="00F37058">
      <w:pPr>
        <w:spacing w:line="480" w:lineRule="auto"/>
        <w:ind w:left="720" w:hanging="720"/>
        <w:rPr>
          <w:b/>
          <w:bCs/>
        </w:rPr>
      </w:pPr>
    </w:p>
    <w:p w:rsidR="00B85BDA" w:rsidRDefault="00B85BDA" w:rsidP="00B85BDA">
      <w:pPr>
        <w:spacing w:line="480" w:lineRule="auto"/>
        <w:ind w:left="720" w:hanging="720"/>
        <w:rPr>
          <w:b/>
          <w:bCs/>
        </w:rPr>
      </w:pPr>
      <w:r>
        <w:rPr>
          <w:b/>
          <w:bCs/>
        </w:rPr>
        <w:t>Q.</w:t>
      </w:r>
      <w:r>
        <w:rPr>
          <w:b/>
          <w:bCs/>
        </w:rPr>
        <w:tab/>
        <w:t xml:space="preserve">HOW DO </w:t>
      </w:r>
      <w:r w:rsidR="000955BA">
        <w:rPr>
          <w:b/>
          <w:bCs/>
        </w:rPr>
        <w:t>SWAPS</w:t>
      </w:r>
      <w:r>
        <w:rPr>
          <w:b/>
          <w:bCs/>
        </w:rPr>
        <w:t xml:space="preserve"> REDUCE UNCERTAINTY OF PROSPECTIVE NATURAL GAS PRICES?</w:t>
      </w:r>
    </w:p>
    <w:p w:rsidR="00B85BDA" w:rsidRPr="00B35203" w:rsidRDefault="00B85BDA" w:rsidP="00B85BDA">
      <w:pPr>
        <w:spacing w:line="480" w:lineRule="auto"/>
        <w:ind w:left="720" w:hanging="720"/>
        <w:rPr>
          <w:bCs/>
        </w:rPr>
      </w:pPr>
      <w:r>
        <w:rPr>
          <w:b/>
          <w:bCs/>
        </w:rPr>
        <w:t>A.</w:t>
      </w:r>
      <w:r>
        <w:rPr>
          <w:b/>
          <w:bCs/>
        </w:rPr>
        <w:tab/>
      </w:r>
      <w:r w:rsidR="007C6807">
        <w:rPr>
          <w:bCs/>
        </w:rPr>
        <w:t xml:space="preserve">A </w:t>
      </w:r>
      <w:r w:rsidR="00765CEC" w:rsidRPr="00765CEC">
        <w:rPr>
          <w:bCs/>
        </w:rPr>
        <w:t>swap</w:t>
      </w:r>
      <w:r w:rsidR="007C6807">
        <w:rPr>
          <w:bCs/>
        </w:rPr>
        <w:t xml:space="preserve"> reduces the uncertainty of prospective natural gas prices by </w:t>
      </w:r>
      <w:r w:rsidR="00765CEC" w:rsidRPr="00765CEC">
        <w:rPr>
          <w:bCs/>
        </w:rPr>
        <w:t>fixing</w:t>
      </w:r>
      <w:r w:rsidR="007C6807">
        <w:rPr>
          <w:bCs/>
        </w:rPr>
        <w:t xml:space="preserve"> the price paid by the utility. </w:t>
      </w:r>
      <w:r w:rsidR="00E4722D">
        <w:rPr>
          <w:bCs/>
        </w:rPr>
        <w:t>The u</w:t>
      </w:r>
      <w:r w:rsidR="007C6807">
        <w:rPr>
          <w:bCs/>
        </w:rPr>
        <w:t xml:space="preserve">tility would </w:t>
      </w:r>
      <w:r w:rsidR="00765CEC" w:rsidRPr="00765CEC">
        <w:rPr>
          <w:bCs/>
        </w:rPr>
        <w:t xml:space="preserve">enter into a swap prospectively with a counterparty and agree to pay </w:t>
      </w:r>
      <w:r w:rsidR="00E4722D">
        <w:rPr>
          <w:bCs/>
        </w:rPr>
        <w:t xml:space="preserve">a </w:t>
      </w:r>
      <w:r w:rsidR="00765CEC" w:rsidRPr="00765CEC">
        <w:rPr>
          <w:bCs/>
        </w:rPr>
        <w:t xml:space="preserve">fixed price for natural gas. The counterparty would agree to pay to the utility the price of gas whatever it may be at </w:t>
      </w:r>
      <w:r w:rsidR="00E4722D">
        <w:rPr>
          <w:bCs/>
        </w:rPr>
        <w:t xml:space="preserve">a </w:t>
      </w:r>
      <w:r w:rsidR="00765CEC" w:rsidRPr="00765CEC">
        <w:rPr>
          <w:bCs/>
        </w:rPr>
        <w:t xml:space="preserve">future point in time. If the price of gas is above the fixed price agreed to by the utility then the counterparty pays the </w:t>
      </w:r>
      <w:r w:rsidR="006747D1" w:rsidRPr="00765CEC">
        <w:rPr>
          <w:bCs/>
        </w:rPr>
        <w:t>utility</w:t>
      </w:r>
      <w:r w:rsidR="00765CEC" w:rsidRPr="00765CEC">
        <w:rPr>
          <w:bCs/>
        </w:rPr>
        <w:t xml:space="preserve"> the difference (price of natural gas less the fixed price). However</w:t>
      </w:r>
      <w:r w:rsidR="00432CF8">
        <w:rPr>
          <w:bCs/>
        </w:rPr>
        <w:t>,</w:t>
      </w:r>
      <w:r w:rsidR="00765CEC" w:rsidRPr="00765CEC">
        <w:rPr>
          <w:bCs/>
        </w:rPr>
        <w:t xml:space="preserve"> if the price of gas is below the fixed price agreed to by the utility</w:t>
      </w:r>
      <w:r w:rsidR="00E4722D">
        <w:rPr>
          <w:bCs/>
        </w:rPr>
        <w:t xml:space="preserve"> then</w:t>
      </w:r>
      <w:r w:rsidR="00765CEC" w:rsidRPr="00765CEC">
        <w:rPr>
          <w:bCs/>
        </w:rPr>
        <w:t xml:space="preserve"> the utility must pay the difference to the counterparty (fixed price less actual price). By entering into </w:t>
      </w:r>
      <w:r w:rsidR="00F241F8">
        <w:rPr>
          <w:bCs/>
        </w:rPr>
        <w:t xml:space="preserve">a </w:t>
      </w:r>
      <w:r w:rsidR="00765CEC" w:rsidRPr="00765CEC">
        <w:rPr>
          <w:bCs/>
        </w:rPr>
        <w:t>swap the utility fixes the price of gas and removes all uncertainty about prospective natural gas price</w:t>
      </w:r>
      <w:r w:rsidR="00E4722D">
        <w:rPr>
          <w:bCs/>
        </w:rPr>
        <w:t>s</w:t>
      </w:r>
      <w:r w:rsidR="00765CEC" w:rsidRPr="00765CEC">
        <w:rPr>
          <w:bCs/>
        </w:rPr>
        <w:t xml:space="preserve">. </w:t>
      </w:r>
    </w:p>
    <w:p w:rsidR="00B85BDA" w:rsidRPr="00B35203" w:rsidRDefault="007C6807" w:rsidP="00B85BDA">
      <w:pPr>
        <w:spacing w:line="480" w:lineRule="auto"/>
        <w:ind w:left="720" w:hanging="720"/>
        <w:rPr>
          <w:bCs/>
        </w:rPr>
      </w:pPr>
      <w:r>
        <w:rPr>
          <w:b/>
          <w:bCs/>
        </w:rPr>
        <w:tab/>
      </w:r>
    </w:p>
    <w:p w:rsidR="00B85BDA" w:rsidRPr="00B35203" w:rsidRDefault="007C6807" w:rsidP="00B85BDA">
      <w:pPr>
        <w:spacing w:line="480" w:lineRule="auto"/>
        <w:ind w:left="720" w:hanging="720"/>
        <w:rPr>
          <w:bCs/>
        </w:rPr>
      </w:pPr>
      <w:r>
        <w:rPr>
          <w:bCs/>
        </w:rPr>
        <w:tab/>
        <w:t xml:space="preserve">A simple example would be for the utility to </w:t>
      </w:r>
      <w:r w:rsidR="00765CEC" w:rsidRPr="00765CEC">
        <w:rPr>
          <w:bCs/>
        </w:rPr>
        <w:t xml:space="preserve">enter into a swap with a counterparty to pay a fixed price of $4 </w:t>
      </w:r>
      <w:r>
        <w:rPr>
          <w:bCs/>
        </w:rPr>
        <w:t xml:space="preserve">for gas delivered and consumed in </w:t>
      </w:r>
      <w:r w:rsidR="00765CEC" w:rsidRPr="00765CEC">
        <w:rPr>
          <w:bCs/>
        </w:rPr>
        <w:t>May</w:t>
      </w:r>
      <w:r>
        <w:rPr>
          <w:bCs/>
        </w:rPr>
        <w:t xml:space="preserve"> 2016. If the cost of gas is $6 in </w:t>
      </w:r>
      <w:r w:rsidR="00765CEC" w:rsidRPr="00765CEC">
        <w:rPr>
          <w:bCs/>
        </w:rPr>
        <w:t>May</w:t>
      </w:r>
      <w:r>
        <w:rPr>
          <w:bCs/>
        </w:rPr>
        <w:t xml:space="preserve"> 2016 then the utility would receive $</w:t>
      </w:r>
      <w:r w:rsidR="00765CEC" w:rsidRPr="00765CEC">
        <w:rPr>
          <w:bCs/>
        </w:rPr>
        <w:t>2</w:t>
      </w:r>
      <w:r>
        <w:rPr>
          <w:bCs/>
        </w:rPr>
        <w:t xml:space="preserve"> from the counterparty for the difference between the cost of natural gas ($6) and the </w:t>
      </w:r>
      <w:r w:rsidR="00765CEC" w:rsidRPr="00765CEC">
        <w:rPr>
          <w:bCs/>
        </w:rPr>
        <w:t>fixed</w:t>
      </w:r>
      <w:r>
        <w:rPr>
          <w:bCs/>
        </w:rPr>
        <w:t xml:space="preserve"> price ($</w:t>
      </w:r>
      <w:r w:rsidR="00765CEC" w:rsidRPr="00765CEC">
        <w:rPr>
          <w:bCs/>
        </w:rPr>
        <w:t>4</w:t>
      </w:r>
      <w:r>
        <w:rPr>
          <w:bCs/>
        </w:rPr>
        <w:t>). The $</w:t>
      </w:r>
      <w:r w:rsidR="00765CEC" w:rsidRPr="00765CEC">
        <w:rPr>
          <w:bCs/>
        </w:rPr>
        <w:t>2</w:t>
      </w:r>
      <w:r>
        <w:rPr>
          <w:bCs/>
        </w:rPr>
        <w:t xml:space="preserve"> payment from the </w:t>
      </w:r>
      <w:r>
        <w:rPr>
          <w:bCs/>
        </w:rPr>
        <w:lastRenderedPageBreak/>
        <w:t xml:space="preserve">counterparty would be netted against the $6 spent on physical natural gas for a net cost </w:t>
      </w:r>
      <w:r w:rsidR="00E4722D">
        <w:rPr>
          <w:bCs/>
        </w:rPr>
        <w:t xml:space="preserve">of </w:t>
      </w:r>
      <w:r>
        <w:rPr>
          <w:bCs/>
        </w:rPr>
        <w:t>$</w:t>
      </w:r>
      <w:r w:rsidR="00765CEC" w:rsidRPr="00765CEC">
        <w:rPr>
          <w:bCs/>
        </w:rPr>
        <w:t>4</w:t>
      </w:r>
      <w:r>
        <w:rPr>
          <w:bCs/>
        </w:rPr>
        <w:t>. Regardless of how high natural gas price</w:t>
      </w:r>
      <w:r w:rsidR="00E4722D">
        <w:rPr>
          <w:bCs/>
        </w:rPr>
        <w:t>s</w:t>
      </w:r>
      <w:r>
        <w:rPr>
          <w:bCs/>
        </w:rPr>
        <w:t xml:space="preserve"> </w:t>
      </w:r>
      <w:r w:rsidR="00765CEC" w:rsidRPr="00765CEC">
        <w:rPr>
          <w:bCs/>
        </w:rPr>
        <w:t xml:space="preserve">in May 2016 </w:t>
      </w:r>
      <w:r>
        <w:rPr>
          <w:bCs/>
        </w:rPr>
        <w:t xml:space="preserve">rises above </w:t>
      </w:r>
      <w:r w:rsidR="00765CEC" w:rsidRPr="00765CEC">
        <w:rPr>
          <w:bCs/>
        </w:rPr>
        <w:t>the fixed price of</w:t>
      </w:r>
      <w:r w:rsidR="00E4722D">
        <w:rPr>
          <w:bCs/>
        </w:rPr>
        <w:t xml:space="preserve"> the</w:t>
      </w:r>
      <w:r>
        <w:rPr>
          <w:bCs/>
        </w:rPr>
        <w:t xml:space="preserve"> $</w:t>
      </w:r>
      <w:r w:rsidR="00765CEC" w:rsidRPr="00765CEC">
        <w:rPr>
          <w:bCs/>
        </w:rPr>
        <w:t>4</w:t>
      </w:r>
      <w:r>
        <w:rPr>
          <w:bCs/>
        </w:rPr>
        <w:t xml:space="preserve"> strike price the net cost</w:t>
      </w:r>
      <w:r w:rsidR="00765CEC" w:rsidRPr="00765CEC">
        <w:rPr>
          <w:bCs/>
        </w:rPr>
        <w:t xml:space="preserve"> to the utility</w:t>
      </w:r>
      <w:r>
        <w:rPr>
          <w:bCs/>
        </w:rPr>
        <w:t xml:space="preserve"> </w:t>
      </w:r>
      <w:r w:rsidR="00765CEC" w:rsidRPr="00765CEC">
        <w:rPr>
          <w:bCs/>
        </w:rPr>
        <w:t>is fixed at $4</w:t>
      </w:r>
      <w:r>
        <w:rPr>
          <w:bCs/>
        </w:rPr>
        <w:t>.</w:t>
      </w:r>
    </w:p>
    <w:p w:rsidR="00B85BDA" w:rsidRPr="00B35203" w:rsidRDefault="00B85BDA" w:rsidP="00B85BDA">
      <w:pPr>
        <w:spacing w:line="480" w:lineRule="auto"/>
        <w:ind w:left="720" w:hanging="720"/>
        <w:rPr>
          <w:bCs/>
        </w:rPr>
      </w:pPr>
    </w:p>
    <w:p w:rsidR="00C03974" w:rsidRPr="00B35203" w:rsidRDefault="007C6807" w:rsidP="00B85BDA">
      <w:pPr>
        <w:spacing w:line="480" w:lineRule="auto"/>
        <w:ind w:left="720" w:hanging="720"/>
        <w:rPr>
          <w:bCs/>
        </w:rPr>
      </w:pPr>
      <w:r>
        <w:rPr>
          <w:bCs/>
        </w:rPr>
        <w:tab/>
        <w:t>In this same example if the cost of gas is $</w:t>
      </w:r>
      <w:r w:rsidR="00765CEC" w:rsidRPr="00765CEC">
        <w:rPr>
          <w:bCs/>
        </w:rPr>
        <w:t>2</w:t>
      </w:r>
      <w:r>
        <w:rPr>
          <w:bCs/>
        </w:rPr>
        <w:t xml:space="preserve"> in </w:t>
      </w:r>
      <w:r w:rsidR="00765CEC" w:rsidRPr="00765CEC">
        <w:rPr>
          <w:bCs/>
        </w:rPr>
        <w:t>May</w:t>
      </w:r>
      <w:r>
        <w:rPr>
          <w:bCs/>
        </w:rPr>
        <w:t xml:space="preserve"> 2016 then the utility would </w:t>
      </w:r>
      <w:r w:rsidR="00765CEC" w:rsidRPr="00765CEC">
        <w:rPr>
          <w:bCs/>
        </w:rPr>
        <w:t>pay the counterparty the difference of $2 between the fixed price of $4 and the May 2016 price of $2.</w:t>
      </w:r>
      <w:r>
        <w:rPr>
          <w:bCs/>
        </w:rPr>
        <w:t xml:space="preserve"> The utility would spend $</w:t>
      </w:r>
      <w:r w:rsidR="00765CEC" w:rsidRPr="00765CEC">
        <w:rPr>
          <w:bCs/>
        </w:rPr>
        <w:t>2</w:t>
      </w:r>
      <w:r>
        <w:rPr>
          <w:bCs/>
        </w:rPr>
        <w:t xml:space="preserve"> on physical natural gas and </w:t>
      </w:r>
      <w:r w:rsidR="00765CEC" w:rsidRPr="00765CEC">
        <w:rPr>
          <w:bCs/>
        </w:rPr>
        <w:t xml:space="preserve">$2 to the counterparty </w:t>
      </w:r>
      <w:r>
        <w:rPr>
          <w:bCs/>
        </w:rPr>
        <w:t>for a net cost $4.</w:t>
      </w:r>
    </w:p>
    <w:p w:rsidR="00C03974" w:rsidRPr="00B35203" w:rsidRDefault="00C03974" w:rsidP="00B85BDA">
      <w:pPr>
        <w:spacing w:line="480" w:lineRule="auto"/>
        <w:ind w:left="720" w:hanging="720"/>
        <w:rPr>
          <w:bCs/>
        </w:rPr>
      </w:pPr>
    </w:p>
    <w:p w:rsidR="00487FF8" w:rsidRDefault="00765CEC" w:rsidP="00B85BDA">
      <w:pPr>
        <w:spacing w:line="480" w:lineRule="auto"/>
        <w:ind w:left="720" w:hanging="720"/>
        <w:rPr>
          <w:b/>
          <w:bCs/>
        </w:rPr>
      </w:pPr>
      <w:r w:rsidRPr="00765CEC">
        <w:rPr>
          <w:bCs/>
        </w:rPr>
        <w:tab/>
        <w:t>Since a swap set</w:t>
      </w:r>
      <w:r w:rsidR="00E4722D">
        <w:rPr>
          <w:bCs/>
        </w:rPr>
        <w:t>s</w:t>
      </w:r>
      <w:r w:rsidRPr="00765CEC">
        <w:rPr>
          <w:bCs/>
        </w:rPr>
        <w:t xml:space="preserve"> the prospective price paid by the utility regardless of the actual price at the time of delivery and burn</w:t>
      </w:r>
      <w:r w:rsidR="00E4722D">
        <w:rPr>
          <w:bCs/>
        </w:rPr>
        <w:t>,</w:t>
      </w:r>
      <w:r w:rsidRPr="00765CEC">
        <w:rPr>
          <w:bCs/>
        </w:rPr>
        <w:t xml:space="preserve"> all uncertainty is removed.</w:t>
      </w:r>
      <w:r w:rsidR="007C6807">
        <w:rPr>
          <w:bCs/>
        </w:rPr>
        <w:t xml:space="preserve"> </w:t>
      </w:r>
    </w:p>
    <w:p w:rsidR="00487FF8" w:rsidRDefault="00487FF8" w:rsidP="00F37058">
      <w:pPr>
        <w:spacing w:line="480" w:lineRule="auto"/>
        <w:ind w:left="720" w:hanging="720"/>
        <w:rPr>
          <w:b/>
          <w:bCs/>
        </w:rPr>
      </w:pPr>
    </w:p>
    <w:p w:rsidR="00B35203" w:rsidRDefault="00B35203" w:rsidP="00B35203">
      <w:pPr>
        <w:spacing w:line="480" w:lineRule="auto"/>
        <w:ind w:left="720" w:hanging="720"/>
        <w:rPr>
          <w:b/>
          <w:bCs/>
        </w:rPr>
      </w:pPr>
      <w:r>
        <w:rPr>
          <w:b/>
          <w:bCs/>
        </w:rPr>
        <w:t>Q.</w:t>
      </w:r>
      <w:r>
        <w:rPr>
          <w:b/>
          <w:bCs/>
        </w:rPr>
        <w:tab/>
        <w:t xml:space="preserve">PLEASE PROVIDE A BRIEF OVERVIEW OF THE </w:t>
      </w:r>
      <w:r w:rsidR="004C62F3">
        <w:rPr>
          <w:b/>
          <w:bCs/>
        </w:rPr>
        <w:t xml:space="preserve">HISTORY OF THE </w:t>
      </w:r>
      <w:r>
        <w:rPr>
          <w:b/>
          <w:bCs/>
        </w:rPr>
        <w:t>COMPANY’S HEDGING PROGRAM</w:t>
      </w:r>
      <w:r w:rsidR="00A12DFE">
        <w:rPr>
          <w:b/>
          <w:bCs/>
        </w:rPr>
        <w:t>.</w:t>
      </w:r>
    </w:p>
    <w:p w:rsidR="00765CEC" w:rsidRDefault="00B35203">
      <w:pPr>
        <w:spacing w:line="480" w:lineRule="auto"/>
        <w:ind w:left="720" w:hanging="720"/>
        <w:rPr>
          <w:bCs/>
        </w:rPr>
      </w:pPr>
      <w:r>
        <w:rPr>
          <w:b/>
          <w:bCs/>
        </w:rPr>
        <w:t>A.</w:t>
      </w:r>
      <w:r>
        <w:rPr>
          <w:b/>
          <w:bCs/>
        </w:rPr>
        <w:tab/>
      </w:r>
      <w:r w:rsidR="00765CEC" w:rsidRPr="00765CEC">
        <w:rPr>
          <w:bCs/>
        </w:rPr>
        <w:t xml:space="preserve">The Company </w:t>
      </w:r>
      <w:r w:rsidR="00E4722D">
        <w:rPr>
          <w:bCs/>
        </w:rPr>
        <w:t xml:space="preserve">began </w:t>
      </w:r>
      <w:r w:rsidR="00A12DFE">
        <w:rPr>
          <w:bCs/>
        </w:rPr>
        <w:t xml:space="preserve">hedging natural gas prices at Savannah Electric in the </w:t>
      </w:r>
      <w:r w:rsidR="007676B4">
        <w:rPr>
          <w:bCs/>
        </w:rPr>
        <w:t>2001</w:t>
      </w:r>
      <w:r w:rsidR="007676B4">
        <w:rPr>
          <w:rStyle w:val="FootnoteReference"/>
          <w:bCs/>
        </w:rPr>
        <w:footnoteReference w:id="1"/>
      </w:r>
      <w:r w:rsidR="00A12DFE">
        <w:rPr>
          <w:bCs/>
        </w:rPr>
        <w:t xml:space="preserve"> and subsequently Georgia Power started hedging </w:t>
      </w:r>
      <w:r w:rsidR="00171336">
        <w:rPr>
          <w:bCs/>
        </w:rPr>
        <w:t xml:space="preserve">in </w:t>
      </w:r>
      <w:r w:rsidR="00603CA8">
        <w:rPr>
          <w:bCs/>
        </w:rPr>
        <w:t>2003</w:t>
      </w:r>
      <w:r w:rsidR="00603CA8">
        <w:rPr>
          <w:rStyle w:val="FootnoteReference"/>
          <w:bCs/>
        </w:rPr>
        <w:footnoteReference w:id="2"/>
      </w:r>
      <w:r w:rsidR="00A12DFE">
        <w:rPr>
          <w:bCs/>
        </w:rPr>
        <w:t>. The primary constraint on the programs at that time was the amount or volume of gas that could be hedged</w:t>
      </w:r>
      <w:r>
        <w:rPr>
          <w:bCs/>
        </w:rPr>
        <w:t xml:space="preserve"> </w:t>
      </w:r>
      <w:r w:rsidR="00A12DFE">
        <w:rPr>
          <w:bCs/>
        </w:rPr>
        <w:t xml:space="preserve">relative to the projected burns at generating plants. There was less </w:t>
      </w:r>
      <w:r w:rsidR="004C62F3">
        <w:rPr>
          <w:bCs/>
        </w:rPr>
        <w:t>limitation</w:t>
      </w:r>
      <w:r w:rsidR="00A12DFE">
        <w:rPr>
          <w:bCs/>
        </w:rPr>
        <w:t xml:space="preserve"> on the types </w:t>
      </w:r>
      <w:r w:rsidR="00171336">
        <w:rPr>
          <w:bCs/>
        </w:rPr>
        <w:t xml:space="preserve">of </w:t>
      </w:r>
      <w:r w:rsidR="00A12DFE">
        <w:rPr>
          <w:bCs/>
        </w:rPr>
        <w:t>financial</w:t>
      </w:r>
      <w:r w:rsidR="004C62F3">
        <w:rPr>
          <w:bCs/>
        </w:rPr>
        <w:t xml:space="preserve"> instruments</w:t>
      </w:r>
      <w:r w:rsidR="00A12DFE">
        <w:rPr>
          <w:bCs/>
        </w:rPr>
        <w:t xml:space="preserve"> used by the Company or </w:t>
      </w:r>
      <w:r w:rsidR="00E4722D">
        <w:rPr>
          <w:bCs/>
        </w:rPr>
        <w:t xml:space="preserve">the </w:t>
      </w:r>
      <w:r w:rsidR="00A12DFE">
        <w:rPr>
          <w:bCs/>
        </w:rPr>
        <w:t>timing of when the instruments were implemented.</w:t>
      </w:r>
      <w:r w:rsidR="004C62F3">
        <w:rPr>
          <w:bCs/>
        </w:rPr>
        <w:t xml:space="preserve"> The initial program allowed the Company to keep </w:t>
      </w:r>
      <w:r w:rsidR="00D32AC2">
        <w:rPr>
          <w:bCs/>
        </w:rPr>
        <w:t xml:space="preserve">25 </w:t>
      </w:r>
      <w:r w:rsidR="004C62F3">
        <w:rPr>
          <w:bCs/>
        </w:rPr>
        <w:t xml:space="preserve">percent of all profits </w:t>
      </w:r>
      <w:r w:rsidR="004C62F3">
        <w:rPr>
          <w:bCs/>
        </w:rPr>
        <w:lastRenderedPageBreak/>
        <w:t>on financial instruments but all losses were borne by ratepayers. The Staff and Company agreed in 2006 to eliminate this “profit sharing” provision</w:t>
      </w:r>
      <w:r w:rsidR="00B92CD8">
        <w:rPr>
          <w:rStyle w:val="FootnoteReference"/>
          <w:bCs/>
        </w:rPr>
        <w:footnoteReference w:id="3"/>
      </w:r>
      <w:r w:rsidR="004C62F3">
        <w:rPr>
          <w:bCs/>
        </w:rPr>
        <w:t>.</w:t>
      </w:r>
    </w:p>
    <w:p w:rsidR="00765CEC" w:rsidRDefault="00765CEC">
      <w:pPr>
        <w:spacing w:line="480" w:lineRule="auto"/>
        <w:ind w:left="720" w:hanging="720"/>
        <w:rPr>
          <w:bCs/>
        </w:rPr>
      </w:pPr>
    </w:p>
    <w:p w:rsidR="00765CEC" w:rsidRDefault="004C62F3" w:rsidP="00765CEC">
      <w:pPr>
        <w:spacing w:line="480" w:lineRule="auto"/>
        <w:ind w:left="720"/>
        <w:rPr>
          <w:bCs/>
        </w:rPr>
      </w:pPr>
      <w:r>
        <w:rPr>
          <w:bCs/>
        </w:rPr>
        <w:t>In 2007 Staff and the Company developed a Hedging Policy Statement</w:t>
      </w:r>
      <w:r w:rsidR="00B92CD8">
        <w:rPr>
          <w:rStyle w:val="FootnoteReference"/>
          <w:bCs/>
        </w:rPr>
        <w:footnoteReference w:id="4"/>
      </w:r>
      <w:r>
        <w:rPr>
          <w:bCs/>
        </w:rPr>
        <w:t xml:space="preserve"> which identified the purpose of the hedging program and specifically defined the financial instruments to be used by the Company, how the financial instruments were to be deployed and </w:t>
      </w:r>
      <w:r w:rsidR="00B35203">
        <w:rPr>
          <w:bCs/>
        </w:rPr>
        <w:t>the</w:t>
      </w:r>
      <w:r>
        <w:rPr>
          <w:bCs/>
        </w:rPr>
        <w:t xml:space="preserve"> volume or amount of gas to be hedged.</w:t>
      </w:r>
      <w:r w:rsidR="00271613">
        <w:rPr>
          <w:bCs/>
        </w:rPr>
        <w:t xml:space="preserve"> As</w:t>
      </w:r>
      <w:r>
        <w:rPr>
          <w:bCs/>
        </w:rPr>
        <w:t xml:space="preserve"> described below the hedging program resulted in </w:t>
      </w:r>
      <w:r w:rsidR="00271613">
        <w:rPr>
          <w:bCs/>
        </w:rPr>
        <w:t>significant additional cost to ratepayers</w:t>
      </w:r>
      <w:r w:rsidR="00A47ED8">
        <w:rPr>
          <w:bCs/>
        </w:rPr>
        <w:t xml:space="preserve"> from 2007 through 2012.</w:t>
      </w:r>
    </w:p>
    <w:p w:rsidR="00765CEC" w:rsidRDefault="00765CEC" w:rsidP="00765CEC">
      <w:pPr>
        <w:spacing w:line="480" w:lineRule="auto"/>
        <w:ind w:left="720"/>
        <w:rPr>
          <w:bCs/>
        </w:rPr>
      </w:pPr>
    </w:p>
    <w:p w:rsidR="00765CEC" w:rsidRDefault="00271613" w:rsidP="00765CEC">
      <w:pPr>
        <w:spacing w:line="480" w:lineRule="auto"/>
        <w:ind w:left="720"/>
        <w:rPr>
          <w:bCs/>
        </w:rPr>
      </w:pPr>
      <w:r>
        <w:rPr>
          <w:bCs/>
        </w:rPr>
        <w:t>The Staff and Company enter</w:t>
      </w:r>
      <w:r w:rsidR="00364294">
        <w:rPr>
          <w:bCs/>
        </w:rPr>
        <w:t>ed</w:t>
      </w:r>
      <w:r>
        <w:rPr>
          <w:bCs/>
        </w:rPr>
        <w:t xml:space="preserve"> into negotiations about modifications to the hedging program to address the cost being borne by ratepayers. The result of the negotiations was a settlement between Staff and the Company approved by the Commission in early 2013</w:t>
      </w:r>
      <w:r w:rsidR="00A543A9">
        <w:rPr>
          <w:rStyle w:val="FootnoteReference"/>
          <w:bCs/>
        </w:rPr>
        <w:footnoteReference w:id="5"/>
      </w:r>
      <w:r>
        <w:rPr>
          <w:bCs/>
        </w:rPr>
        <w:t xml:space="preserve"> which placed </w:t>
      </w:r>
      <w:r w:rsidR="00D32AC2">
        <w:rPr>
          <w:bCs/>
        </w:rPr>
        <w:t xml:space="preserve">a </w:t>
      </w:r>
      <w:r>
        <w:rPr>
          <w:bCs/>
        </w:rPr>
        <w:t xml:space="preserve">hard dollar cap on </w:t>
      </w:r>
      <w:r w:rsidR="00D32AC2">
        <w:rPr>
          <w:bCs/>
        </w:rPr>
        <w:t xml:space="preserve">the annual </w:t>
      </w:r>
      <w:r>
        <w:rPr>
          <w:bCs/>
        </w:rPr>
        <w:t>cost of the</w:t>
      </w:r>
      <w:r w:rsidR="00B35203">
        <w:rPr>
          <w:bCs/>
        </w:rPr>
        <w:t xml:space="preserve"> hedging program</w:t>
      </w:r>
      <w:r>
        <w:rPr>
          <w:bCs/>
        </w:rPr>
        <w:t>, limited the Company to using only call options and required the Company to purchase call options evenly over the two year period preceding the burn</w:t>
      </w:r>
      <w:r w:rsidR="00A47ED8">
        <w:rPr>
          <w:bCs/>
        </w:rPr>
        <w:t xml:space="preserve"> month.</w:t>
      </w:r>
    </w:p>
    <w:p w:rsidR="00765CEC" w:rsidRDefault="00765CEC" w:rsidP="00765CEC">
      <w:pPr>
        <w:spacing w:line="480" w:lineRule="auto"/>
        <w:ind w:left="720"/>
        <w:rPr>
          <w:bCs/>
        </w:rPr>
      </w:pPr>
    </w:p>
    <w:p w:rsidR="00765CEC" w:rsidRPr="00765CEC" w:rsidRDefault="00A47ED8" w:rsidP="00765CEC">
      <w:pPr>
        <w:spacing w:line="480" w:lineRule="auto"/>
        <w:ind w:left="720"/>
        <w:rPr>
          <w:bCs/>
        </w:rPr>
      </w:pPr>
      <w:r>
        <w:rPr>
          <w:bCs/>
        </w:rPr>
        <w:t>The Company in this proceeding requests to abandon the current agreement and to revert back to the 2007 Hedging Policy Statement with even less restrictions on when fin</w:t>
      </w:r>
      <w:r w:rsidR="00432CF8">
        <w:rPr>
          <w:bCs/>
        </w:rPr>
        <w:t>an</w:t>
      </w:r>
      <w:r>
        <w:rPr>
          <w:bCs/>
        </w:rPr>
        <w:t xml:space="preserve">cial </w:t>
      </w:r>
      <w:r>
        <w:rPr>
          <w:bCs/>
        </w:rPr>
        <w:lastRenderedPageBreak/>
        <w:t>instrument</w:t>
      </w:r>
      <w:r w:rsidR="00432CF8">
        <w:rPr>
          <w:bCs/>
        </w:rPr>
        <w:t>s</w:t>
      </w:r>
      <w:r>
        <w:rPr>
          <w:bCs/>
        </w:rPr>
        <w:t xml:space="preserve"> may be deployed. Staff objects to the Company’s hedging proposal</w:t>
      </w:r>
      <w:r w:rsidR="00432CF8">
        <w:rPr>
          <w:bCs/>
        </w:rPr>
        <w:t xml:space="preserve"> for reasons outlined below</w:t>
      </w:r>
      <w:r>
        <w:rPr>
          <w:bCs/>
        </w:rPr>
        <w:t>.</w:t>
      </w:r>
    </w:p>
    <w:p w:rsidR="00B35203" w:rsidRDefault="00B35203" w:rsidP="00F37058">
      <w:pPr>
        <w:spacing w:line="480" w:lineRule="auto"/>
        <w:ind w:left="720" w:hanging="720"/>
        <w:rPr>
          <w:b/>
          <w:bCs/>
        </w:rPr>
      </w:pPr>
    </w:p>
    <w:p w:rsidR="00F37058" w:rsidRDefault="00F37058" w:rsidP="00F37058">
      <w:pPr>
        <w:spacing w:line="480" w:lineRule="auto"/>
        <w:ind w:left="720" w:hanging="720"/>
        <w:rPr>
          <w:b/>
          <w:bCs/>
        </w:rPr>
      </w:pPr>
      <w:r>
        <w:rPr>
          <w:b/>
          <w:bCs/>
        </w:rPr>
        <w:t>Q.</w:t>
      </w:r>
      <w:r>
        <w:rPr>
          <w:b/>
          <w:bCs/>
        </w:rPr>
        <w:tab/>
      </w:r>
      <w:r w:rsidR="007B6238">
        <w:rPr>
          <w:b/>
          <w:bCs/>
        </w:rPr>
        <w:t xml:space="preserve">WHAT </w:t>
      </w:r>
      <w:r w:rsidR="00DC1AFD">
        <w:rPr>
          <w:b/>
          <w:bCs/>
        </w:rPr>
        <w:t>ARE</w:t>
      </w:r>
      <w:r w:rsidR="007B6238">
        <w:rPr>
          <w:b/>
          <w:bCs/>
        </w:rPr>
        <w:t xml:space="preserve"> STAFF’S </w:t>
      </w:r>
      <w:r w:rsidR="00DC1AFD">
        <w:rPr>
          <w:b/>
          <w:bCs/>
        </w:rPr>
        <w:t>OBSERVATIONS ABOUT THE NATURAL GAS HEDGING PROGRAM</w:t>
      </w:r>
      <w:r>
        <w:rPr>
          <w:b/>
          <w:bCs/>
        </w:rPr>
        <w:t>?</w:t>
      </w:r>
    </w:p>
    <w:p w:rsidR="001A6625" w:rsidRDefault="00F37058" w:rsidP="00DC1AFD">
      <w:pPr>
        <w:spacing w:line="480" w:lineRule="auto"/>
        <w:ind w:left="720" w:hanging="720"/>
        <w:rPr>
          <w:bCs/>
        </w:rPr>
      </w:pPr>
      <w:r>
        <w:rPr>
          <w:b/>
          <w:bCs/>
        </w:rPr>
        <w:t>A.</w:t>
      </w:r>
      <w:r>
        <w:rPr>
          <w:b/>
          <w:bCs/>
        </w:rPr>
        <w:tab/>
      </w:r>
      <w:r w:rsidR="000B2EE8">
        <w:rPr>
          <w:bCs/>
        </w:rPr>
        <w:t>First</w:t>
      </w:r>
      <w:r w:rsidR="00D27FFA">
        <w:rPr>
          <w:bCs/>
        </w:rPr>
        <w:t>,</w:t>
      </w:r>
      <w:r w:rsidR="000B2EE8">
        <w:rPr>
          <w:bCs/>
        </w:rPr>
        <w:t xml:space="preserve"> the hedging program has no impact on the safety and reliability of the </w:t>
      </w:r>
      <w:r w:rsidR="00D27FFA">
        <w:rPr>
          <w:bCs/>
        </w:rPr>
        <w:t xml:space="preserve">Company’s </w:t>
      </w:r>
      <w:r w:rsidR="000B2EE8">
        <w:rPr>
          <w:bCs/>
        </w:rPr>
        <w:t xml:space="preserve">system and it is not necessary </w:t>
      </w:r>
      <w:r w:rsidR="00D27FFA">
        <w:rPr>
          <w:bCs/>
        </w:rPr>
        <w:t xml:space="preserve">for the Company to </w:t>
      </w:r>
      <w:r w:rsidR="000B2EE8">
        <w:rPr>
          <w:bCs/>
        </w:rPr>
        <w:t xml:space="preserve">have </w:t>
      </w:r>
      <w:r w:rsidR="00D27FFA">
        <w:rPr>
          <w:bCs/>
        </w:rPr>
        <w:t xml:space="preserve">a </w:t>
      </w:r>
      <w:r w:rsidR="000B2EE8">
        <w:rPr>
          <w:bCs/>
        </w:rPr>
        <w:t>hedging program in order to serve customers in a safe and reliable manner. Second</w:t>
      </w:r>
      <w:r w:rsidR="00D27FFA">
        <w:rPr>
          <w:bCs/>
        </w:rPr>
        <w:t>,</w:t>
      </w:r>
      <w:r w:rsidR="000B2EE8">
        <w:rPr>
          <w:bCs/>
        </w:rPr>
        <w:t xml:space="preserve"> hedging involves shift</w:t>
      </w:r>
      <w:r w:rsidR="00652354">
        <w:rPr>
          <w:bCs/>
        </w:rPr>
        <w:t>ing</w:t>
      </w:r>
      <w:r w:rsidR="000B2EE8">
        <w:rPr>
          <w:bCs/>
        </w:rPr>
        <w:t xml:space="preserve"> uncertainty about </w:t>
      </w:r>
      <w:r w:rsidR="00D27FFA">
        <w:rPr>
          <w:bCs/>
        </w:rPr>
        <w:t xml:space="preserve">the </w:t>
      </w:r>
      <w:r w:rsidR="000B2EE8">
        <w:rPr>
          <w:bCs/>
        </w:rPr>
        <w:t>prospective price of natural gas from the Company to a counterparty</w:t>
      </w:r>
      <w:r w:rsidR="00DC1AFD">
        <w:rPr>
          <w:bCs/>
        </w:rPr>
        <w:t>.</w:t>
      </w:r>
      <w:r w:rsidR="000B2EE8">
        <w:rPr>
          <w:bCs/>
        </w:rPr>
        <w:t xml:space="preserve"> </w:t>
      </w:r>
      <w:r w:rsidR="00652354">
        <w:rPr>
          <w:bCs/>
        </w:rPr>
        <w:t xml:space="preserve">Of course, there will be </w:t>
      </w:r>
      <w:r w:rsidR="00E4722D">
        <w:rPr>
          <w:bCs/>
        </w:rPr>
        <w:t xml:space="preserve">a </w:t>
      </w:r>
      <w:r w:rsidR="00652354">
        <w:rPr>
          <w:bCs/>
        </w:rPr>
        <w:t>cost to shift this uncertainty from the Company</w:t>
      </w:r>
      <w:r w:rsidR="00D27FFA">
        <w:rPr>
          <w:bCs/>
        </w:rPr>
        <w:t>,</w:t>
      </w:r>
      <w:r w:rsidR="00652354">
        <w:rPr>
          <w:bCs/>
        </w:rPr>
        <w:t xml:space="preserve"> as the counterparty will require compensation</w:t>
      </w:r>
      <w:r w:rsidR="00CA4787">
        <w:rPr>
          <w:bCs/>
        </w:rPr>
        <w:t xml:space="preserve"> for bearing </w:t>
      </w:r>
      <w:r w:rsidR="00E4722D">
        <w:rPr>
          <w:bCs/>
        </w:rPr>
        <w:t xml:space="preserve">that </w:t>
      </w:r>
      <w:r w:rsidR="00626799">
        <w:rPr>
          <w:bCs/>
        </w:rPr>
        <w:t>uncertainty</w:t>
      </w:r>
      <w:r w:rsidR="00652354">
        <w:rPr>
          <w:bCs/>
        </w:rPr>
        <w:t xml:space="preserve">. </w:t>
      </w:r>
      <w:r w:rsidR="00D27FFA">
        <w:rPr>
          <w:bCs/>
        </w:rPr>
        <w:t>As discussed below,</w:t>
      </w:r>
      <w:r w:rsidR="006747D1">
        <w:rPr>
          <w:bCs/>
        </w:rPr>
        <w:t xml:space="preserve"> </w:t>
      </w:r>
      <w:r w:rsidR="00D27FFA">
        <w:rPr>
          <w:bCs/>
        </w:rPr>
        <w:t>this</w:t>
      </w:r>
      <w:r w:rsidR="00652354">
        <w:rPr>
          <w:bCs/>
        </w:rPr>
        <w:t xml:space="preserve"> cost has been quite substantial over the history of the </w:t>
      </w:r>
      <w:r w:rsidR="00D27FFA">
        <w:rPr>
          <w:bCs/>
        </w:rPr>
        <w:t xml:space="preserve">Company’s </w:t>
      </w:r>
      <w:r w:rsidR="00652354">
        <w:rPr>
          <w:bCs/>
        </w:rPr>
        <w:t xml:space="preserve">natural gas hedging program. </w:t>
      </w:r>
      <w:r w:rsidR="001A6625">
        <w:rPr>
          <w:bCs/>
        </w:rPr>
        <w:t xml:space="preserve">Finally, there is a much less expensive method to insulate ratepayers from volatility of natural gas prices. </w:t>
      </w:r>
      <w:r w:rsidR="00D27FFA">
        <w:rPr>
          <w:bCs/>
        </w:rPr>
        <w:t xml:space="preserve">While the Staff is not recommending in this proceeding that the Company discontinue its hedging program, the </w:t>
      </w:r>
      <w:r w:rsidR="001A6625">
        <w:rPr>
          <w:bCs/>
        </w:rPr>
        <w:t xml:space="preserve">Commission </w:t>
      </w:r>
      <w:r w:rsidR="00D27FFA">
        <w:rPr>
          <w:bCs/>
        </w:rPr>
        <w:t xml:space="preserve">could </w:t>
      </w:r>
      <w:r w:rsidR="001A6625">
        <w:rPr>
          <w:bCs/>
        </w:rPr>
        <w:t xml:space="preserve">simply continue to use the fuel balance to absorb changes in natural gas prices in order to maintain </w:t>
      </w:r>
      <w:r w:rsidR="00B32913">
        <w:rPr>
          <w:bCs/>
        </w:rPr>
        <w:t>stable</w:t>
      </w:r>
      <w:r w:rsidR="001A6625">
        <w:rPr>
          <w:bCs/>
        </w:rPr>
        <w:t xml:space="preserve"> fuel rates</w:t>
      </w:r>
      <w:r w:rsidR="00C64667">
        <w:rPr>
          <w:bCs/>
        </w:rPr>
        <w:t xml:space="preserve"> between FCR cases</w:t>
      </w:r>
      <w:r w:rsidR="001A6625">
        <w:rPr>
          <w:bCs/>
        </w:rPr>
        <w:t xml:space="preserve"> at a fraction of the cost of the natural hedging program.</w:t>
      </w:r>
    </w:p>
    <w:p w:rsidR="001A6625" w:rsidRDefault="001A6625" w:rsidP="00DC1AFD">
      <w:pPr>
        <w:spacing w:line="480" w:lineRule="auto"/>
        <w:ind w:left="720" w:hanging="720"/>
        <w:rPr>
          <w:bCs/>
        </w:rPr>
      </w:pPr>
    </w:p>
    <w:p w:rsidR="001A6625" w:rsidRDefault="001A6625" w:rsidP="001A6625">
      <w:pPr>
        <w:spacing w:line="480" w:lineRule="auto"/>
        <w:ind w:left="720" w:hanging="720"/>
        <w:rPr>
          <w:b/>
          <w:bCs/>
        </w:rPr>
      </w:pPr>
      <w:r>
        <w:rPr>
          <w:b/>
          <w:bCs/>
        </w:rPr>
        <w:t>Q.</w:t>
      </w:r>
      <w:r>
        <w:rPr>
          <w:b/>
          <w:bCs/>
        </w:rPr>
        <w:tab/>
      </w:r>
      <w:r w:rsidR="000B31A3">
        <w:rPr>
          <w:b/>
          <w:bCs/>
        </w:rPr>
        <w:t xml:space="preserve">PLEASE EXPLAIN WHY </w:t>
      </w:r>
      <w:r w:rsidR="00681476">
        <w:rPr>
          <w:b/>
          <w:bCs/>
        </w:rPr>
        <w:t xml:space="preserve">THE </w:t>
      </w:r>
      <w:r w:rsidR="000B31A3">
        <w:rPr>
          <w:b/>
          <w:bCs/>
        </w:rPr>
        <w:t xml:space="preserve">NATURAL GAS HEDGING PROGRAM HAS NO IMPACT ON THE SAFE AND RELIABLE OPERATION OF </w:t>
      </w:r>
      <w:r w:rsidR="00681476">
        <w:rPr>
          <w:b/>
          <w:bCs/>
        </w:rPr>
        <w:t xml:space="preserve">THE COMPANY’S </w:t>
      </w:r>
      <w:r w:rsidR="000B31A3">
        <w:rPr>
          <w:b/>
          <w:bCs/>
        </w:rPr>
        <w:t>ELECTRIC SYSTEM.</w:t>
      </w:r>
    </w:p>
    <w:p w:rsidR="00D7448A" w:rsidRDefault="001A6625" w:rsidP="001A6625">
      <w:pPr>
        <w:spacing w:line="480" w:lineRule="auto"/>
        <w:ind w:left="720" w:hanging="720"/>
        <w:rPr>
          <w:bCs/>
        </w:rPr>
      </w:pPr>
      <w:r>
        <w:rPr>
          <w:b/>
          <w:bCs/>
        </w:rPr>
        <w:lastRenderedPageBreak/>
        <w:t>A.</w:t>
      </w:r>
      <w:r>
        <w:rPr>
          <w:b/>
          <w:bCs/>
        </w:rPr>
        <w:tab/>
      </w:r>
      <w:r w:rsidR="000B31A3">
        <w:rPr>
          <w:bCs/>
        </w:rPr>
        <w:t xml:space="preserve">The purchase of physical natural gas </w:t>
      </w:r>
      <w:r w:rsidR="008040CD">
        <w:rPr>
          <w:bCs/>
        </w:rPr>
        <w:t xml:space="preserve">necessary </w:t>
      </w:r>
      <w:r w:rsidR="000B31A3">
        <w:rPr>
          <w:bCs/>
        </w:rPr>
        <w:t xml:space="preserve">to supply the Company’s generating plant </w:t>
      </w:r>
      <w:r w:rsidR="008040CD">
        <w:rPr>
          <w:bCs/>
        </w:rPr>
        <w:t xml:space="preserve">and help insure the safe and reliable operation of the Company’s system </w:t>
      </w:r>
      <w:r w:rsidR="000B31A3">
        <w:rPr>
          <w:bCs/>
        </w:rPr>
        <w:t xml:space="preserve">is completely independent of the natural gas hedging program. </w:t>
      </w:r>
      <w:r w:rsidR="00364294">
        <w:rPr>
          <w:bCs/>
        </w:rPr>
        <w:t xml:space="preserve">The hedging </w:t>
      </w:r>
      <w:r w:rsidR="00487FF8">
        <w:rPr>
          <w:bCs/>
        </w:rPr>
        <w:t xml:space="preserve">program impacts the price of natural gas but not the physical delivery and therefore does not impact electric system reliability. </w:t>
      </w:r>
      <w:r w:rsidR="000B31A3">
        <w:rPr>
          <w:bCs/>
        </w:rPr>
        <w:t>The Company does not hedge or enter into agreement</w:t>
      </w:r>
      <w:r w:rsidR="00D7448A">
        <w:rPr>
          <w:bCs/>
        </w:rPr>
        <w:t>s</w:t>
      </w:r>
      <w:r w:rsidR="000B31A3">
        <w:rPr>
          <w:bCs/>
        </w:rPr>
        <w:t xml:space="preserve"> </w:t>
      </w:r>
      <w:r w:rsidR="00CA4787">
        <w:rPr>
          <w:bCs/>
        </w:rPr>
        <w:t xml:space="preserve">with suppliers </w:t>
      </w:r>
      <w:r w:rsidR="000B31A3">
        <w:rPr>
          <w:bCs/>
        </w:rPr>
        <w:t xml:space="preserve">to specify the price of the physical natural gas purchased on a prospective basis. Natural gas purchased from suppliers </w:t>
      </w:r>
      <w:r w:rsidR="00CA4787">
        <w:rPr>
          <w:bCs/>
        </w:rPr>
        <w:t xml:space="preserve">is priced </w:t>
      </w:r>
      <w:r w:rsidR="000B31A3">
        <w:rPr>
          <w:bCs/>
        </w:rPr>
        <w:t xml:space="preserve">daily at the prevailing market price. </w:t>
      </w:r>
      <w:r w:rsidR="00CA4787">
        <w:rPr>
          <w:bCs/>
        </w:rPr>
        <w:t>However, the quantities or volume of gas purchased from suppliers are established prospectively in contracts.</w:t>
      </w:r>
    </w:p>
    <w:p w:rsidR="00D7448A" w:rsidRDefault="00D7448A" w:rsidP="001A6625">
      <w:pPr>
        <w:spacing w:line="480" w:lineRule="auto"/>
        <w:ind w:left="720" w:hanging="720"/>
        <w:rPr>
          <w:bCs/>
        </w:rPr>
      </w:pPr>
    </w:p>
    <w:p w:rsidR="00D7448A" w:rsidRDefault="00D7448A" w:rsidP="00D7448A">
      <w:pPr>
        <w:spacing w:line="480" w:lineRule="auto"/>
        <w:ind w:left="720" w:hanging="720"/>
        <w:rPr>
          <w:b/>
          <w:bCs/>
        </w:rPr>
      </w:pPr>
      <w:r>
        <w:rPr>
          <w:b/>
          <w:bCs/>
        </w:rPr>
        <w:t>Q.</w:t>
      </w:r>
      <w:r>
        <w:rPr>
          <w:b/>
          <w:bCs/>
        </w:rPr>
        <w:tab/>
        <w:t xml:space="preserve">WHY </w:t>
      </w:r>
      <w:r w:rsidR="008040CD">
        <w:rPr>
          <w:b/>
          <w:bCs/>
        </w:rPr>
        <w:t xml:space="preserve">DOESN’T </w:t>
      </w:r>
      <w:r>
        <w:rPr>
          <w:b/>
          <w:bCs/>
        </w:rPr>
        <w:t>THE COMPANY HEDGE THE PRICE OF PHY</w:t>
      </w:r>
      <w:r w:rsidR="00CA4787">
        <w:rPr>
          <w:b/>
          <w:bCs/>
        </w:rPr>
        <w:t>SI</w:t>
      </w:r>
      <w:r>
        <w:rPr>
          <w:b/>
          <w:bCs/>
        </w:rPr>
        <w:t xml:space="preserve">CAL NATURAL GAS BY </w:t>
      </w:r>
      <w:r w:rsidR="008040CD">
        <w:rPr>
          <w:b/>
          <w:bCs/>
        </w:rPr>
        <w:t xml:space="preserve">SIMPLY </w:t>
      </w:r>
      <w:r>
        <w:rPr>
          <w:b/>
          <w:bCs/>
        </w:rPr>
        <w:t>ENTERING INTO AGREEMENTS WITH SUPPLIERS TO FIX THE PRICE OF NATURAL GAS TO BE DELIVERED</w:t>
      </w:r>
      <w:r w:rsidR="008040CD">
        <w:rPr>
          <w:b/>
          <w:bCs/>
        </w:rPr>
        <w:t>?</w:t>
      </w:r>
    </w:p>
    <w:p w:rsidR="00626799" w:rsidRDefault="00D7448A" w:rsidP="00D7448A">
      <w:pPr>
        <w:spacing w:line="480" w:lineRule="auto"/>
        <w:ind w:left="720" w:hanging="720"/>
        <w:rPr>
          <w:bCs/>
        </w:rPr>
      </w:pPr>
      <w:r>
        <w:rPr>
          <w:b/>
          <w:bCs/>
        </w:rPr>
        <w:t>A.</w:t>
      </w:r>
      <w:r>
        <w:rPr>
          <w:b/>
          <w:bCs/>
        </w:rPr>
        <w:tab/>
      </w:r>
      <w:r>
        <w:rPr>
          <w:bCs/>
        </w:rPr>
        <w:t xml:space="preserve">It is Staff’s understanding </w:t>
      </w:r>
      <w:r w:rsidR="008040CD">
        <w:rPr>
          <w:bCs/>
        </w:rPr>
        <w:t xml:space="preserve">that such a practice might impact </w:t>
      </w:r>
      <w:r w:rsidR="00626799">
        <w:rPr>
          <w:bCs/>
        </w:rPr>
        <w:t xml:space="preserve">delivery </w:t>
      </w:r>
      <w:r w:rsidR="008040CD">
        <w:rPr>
          <w:bCs/>
        </w:rPr>
        <w:t xml:space="preserve">of gas </w:t>
      </w:r>
      <w:r>
        <w:rPr>
          <w:bCs/>
        </w:rPr>
        <w:t xml:space="preserve">to the Company. </w:t>
      </w:r>
      <w:r w:rsidR="008040CD">
        <w:rPr>
          <w:bCs/>
        </w:rPr>
        <w:t xml:space="preserve">For example, if </w:t>
      </w:r>
      <w:r>
        <w:rPr>
          <w:bCs/>
        </w:rPr>
        <w:t>the market price at the time of delivery is higher than the agreed price between the Company and the supplier</w:t>
      </w:r>
      <w:r w:rsidR="008040CD">
        <w:rPr>
          <w:bCs/>
        </w:rPr>
        <w:t>,</w:t>
      </w:r>
      <w:r>
        <w:rPr>
          <w:bCs/>
        </w:rPr>
        <w:t xml:space="preserve"> the supplier </w:t>
      </w:r>
      <w:r w:rsidR="008040CD">
        <w:rPr>
          <w:bCs/>
        </w:rPr>
        <w:t xml:space="preserve">may have an </w:t>
      </w:r>
      <w:r>
        <w:rPr>
          <w:bCs/>
        </w:rPr>
        <w:t xml:space="preserve">incentive to divert the gas to another purchaser who would pay the higher </w:t>
      </w:r>
      <w:r w:rsidR="00CA4787">
        <w:rPr>
          <w:bCs/>
        </w:rPr>
        <w:t xml:space="preserve">market </w:t>
      </w:r>
      <w:r>
        <w:rPr>
          <w:bCs/>
        </w:rPr>
        <w:t xml:space="preserve">price. </w:t>
      </w:r>
      <w:r w:rsidR="00CA4787">
        <w:rPr>
          <w:bCs/>
        </w:rPr>
        <w:t>By purchasing at the daily prevailing market price</w:t>
      </w:r>
      <w:r w:rsidR="008040CD">
        <w:rPr>
          <w:bCs/>
        </w:rPr>
        <w:t>,</w:t>
      </w:r>
      <w:r w:rsidR="00CA4787">
        <w:rPr>
          <w:bCs/>
        </w:rPr>
        <w:t xml:space="preserve"> the Company avoid</w:t>
      </w:r>
      <w:r w:rsidR="008040CD">
        <w:rPr>
          <w:bCs/>
        </w:rPr>
        <w:t>s</w:t>
      </w:r>
      <w:r w:rsidR="00CA4787">
        <w:rPr>
          <w:bCs/>
        </w:rPr>
        <w:t xml:space="preserve"> this situation and helps ensure fuel will be delivered to generating plants so they can run to provide necessary reliability to the system. </w:t>
      </w:r>
    </w:p>
    <w:p w:rsidR="00626799" w:rsidRDefault="00626799" w:rsidP="00D7448A">
      <w:pPr>
        <w:spacing w:line="480" w:lineRule="auto"/>
        <w:ind w:left="720" w:hanging="720"/>
        <w:rPr>
          <w:bCs/>
        </w:rPr>
      </w:pPr>
    </w:p>
    <w:p w:rsidR="00626799" w:rsidRDefault="00626799" w:rsidP="00626799">
      <w:pPr>
        <w:spacing w:line="480" w:lineRule="auto"/>
        <w:ind w:left="720" w:hanging="720"/>
        <w:rPr>
          <w:b/>
          <w:bCs/>
        </w:rPr>
      </w:pPr>
      <w:r>
        <w:rPr>
          <w:b/>
          <w:bCs/>
        </w:rPr>
        <w:lastRenderedPageBreak/>
        <w:t>Q.</w:t>
      </w:r>
      <w:r>
        <w:rPr>
          <w:b/>
          <w:bCs/>
        </w:rPr>
        <w:tab/>
        <w:t xml:space="preserve">GIVEN </w:t>
      </w:r>
      <w:r w:rsidR="008040CD">
        <w:rPr>
          <w:b/>
          <w:bCs/>
        </w:rPr>
        <w:t xml:space="preserve">THAT </w:t>
      </w:r>
      <w:r>
        <w:rPr>
          <w:b/>
          <w:bCs/>
        </w:rPr>
        <w:t xml:space="preserve">THE SAFETY AND RELIABILITY OF THE ELECTRIC SYSTEM IS COMPLETELY INDEPENDENT OF </w:t>
      </w:r>
      <w:r w:rsidR="00E4784B">
        <w:rPr>
          <w:b/>
          <w:bCs/>
        </w:rPr>
        <w:t xml:space="preserve">THE </w:t>
      </w:r>
      <w:r>
        <w:rPr>
          <w:b/>
          <w:bCs/>
        </w:rPr>
        <w:t>NATURAL GAS HEDGING PROGRAM WHAT FACTORS SHOULD THE COMMISSION CONSIDER WHEN EVALUATING MODIF</w:t>
      </w:r>
      <w:r w:rsidR="00E4722D">
        <w:rPr>
          <w:b/>
          <w:bCs/>
        </w:rPr>
        <w:t>I</w:t>
      </w:r>
      <w:r>
        <w:rPr>
          <w:b/>
          <w:bCs/>
        </w:rPr>
        <w:t>CATIONS TO THE HEDGING PROGRAM</w:t>
      </w:r>
      <w:r w:rsidR="009931D9">
        <w:rPr>
          <w:b/>
          <w:bCs/>
        </w:rPr>
        <w:t>?</w:t>
      </w:r>
    </w:p>
    <w:p w:rsidR="00626799" w:rsidRDefault="00626799" w:rsidP="00626799">
      <w:pPr>
        <w:spacing w:line="480" w:lineRule="auto"/>
        <w:ind w:left="720" w:hanging="720"/>
        <w:rPr>
          <w:bCs/>
        </w:rPr>
      </w:pPr>
      <w:r>
        <w:rPr>
          <w:b/>
          <w:bCs/>
        </w:rPr>
        <w:t>A.</w:t>
      </w:r>
      <w:r>
        <w:rPr>
          <w:b/>
          <w:bCs/>
        </w:rPr>
        <w:tab/>
      </w:r>
      <w:r w:rsidR="00E4784B">
        <w:rPr>
          <w:bCs/>
        </w:rPr>
        <w:t xml:space="preserve">In determining whether to approve any modifications to the Company’s hedging program, the Commission should recognize that a natural </w:t>
      </w:r>
      <w:r w:rsidR="009931D9">
        <w:rPr>
          <w:bCs/>
        </w:rPr>
        <w:t xml:space="preserve">gas hedging program is not </w:t>
      </w:r>
      <w:r w:rsidR="00E4784B">
        <w:rPr>
          <w:bCs/>
        </w:rPr>
        <w:t>necessary to insure the safe and reliable</w:t>
      </w:r>
      <w:r w:rsidR="009931D9">
        <w:rPr>
          <w:bCs/>
        </w:rPr>
        <w:t xml:space="preserve"> </w:t>
      </w:r>
      <w:r w:rsidR="00E4784B">
        <w:rPr>
          <w:bCs/>
        </w:rPr>
        <w:t>operation of the Company’s system. T</w:t>
      </w:r>
      <w:r w:rsidR="009931D9">
        <w:rPr>
          <w:bCs/>
        </w:rPr>
        <w:t>herefore</w:t>
      </w:r>
      <w:r w:rsidR="00E4784B">
        <w:rPr>
          <w:bCs/>
        </w:rPr>
        <w:t>,</w:t>
      </w:r>
      <w:r w:rsidR="009931D9">
        <w:rPr>
          <w:bCs/>
        </w:rPr>
        <w:t xml:space="preserve"> the benefits of </w:t>
      </w:r>
      <w:r w:rsidR="00E4784B">
        <w:rPr>
          <w:bCs/>
        </w:rPr>
        <w:t xml:space="preserve">any hedging </w:t>
      </w:r>
      <w:r w:rsidR="009931D9">
        <w:rPr>
          <w:bCs/>
        </w:rPr>
        <w:t xml:space="preserve">program should exceed the cost </w:t>
      </w:r>
      <w:r w:rsidR="00E4784B">
        <w:rPr>
          <w:bCs/>
        </w:rPr>
        <w:t xml:space="preserve">of the program </w:t>
      </w:r>
      <w:r w:rsidR="00765CEC" w:rsidRPr="00765CEC">
        <w:rPr>
          <w:bCs/>
          <w:i/>
        </w:rPr>
        <w:t>on a sustainable basis over the long term</w:t>
      </w:r>
      <w:r w:rsidR="009931D9">
        <w:rPr>
          <w:bCs/>
        </w:rPr>
        <w:t>.</w:t>
      </w:r>
    </w:p>
    <w:p w:rsidR="00D42658" w:rsidRDefault="00D42658" w:rsidP="00626799">
      <w:pPr>
        <w:spacing w:line="480" w:lineRule="auto"/>
        <w:ind w:left="720" w:hanging="720"/>
        <w:rPr>
          <w:bCs/>
        </w:rPr>
      </w:pPr>
    </w:p>
    <w:p w:rsidR="00D42658" w:rsidRDefault="00D42658" w:rsidP="00D42658">
      <w:pPr>
        <w:spacing w:line="480" w:lineRule="auto"/>
        <w:ind w:left="720" w:hanging="720"/>
        <w:rPr>
          <w:b/>
          <w:bCs/>
        </w:rPr>
      </w:pPr>
      <w:r>
        <w:rPr>
          <w:b/>
          <w:bCs/>
        </w:rPr>
        <w:t>Q.</w:t>
      </w:r>
      <w:r>
        <w:rPr>
          <w:b/>
          <w:bCs/>
        </w:rPr>
        <w:tab/>
        <w:t xml:space="preserve">WHAT </w:t>
      </w:r>
      <w:r w:rsidR="00366138">
        <w:rPr>
          <w:b/>
          <w:bCs/>
        </w:rPr>
        <w:t xml:space="preserve">IMPACT </w:t>
      </w:r>
      <w:r>
        <w:rPr>
          <w:b/>
          <w:bCs/>
        </w:rPr>
        <w:t xml:space="preserve">HAS THE HEDGING PROGRAM </w:t>
      </w:r>
      <w:r w:rsidR="00366138">
        <w:rPr>
          <w:b/>
          <w:bCs/>
        </w:rPr>
        <w:t xml:space="preserve">HAD </w:t>
      </w:r>
      <w:r>
        <w:rPr>
          <w:b/>
          <w:bCs/>
        </w:rPr>
        <w:t>ON FCR REVENUE REQUIREMENT OVER THE PAST TEN YEARS?</w:t>
      </w:r>
    </w:p>
    <w:p w:rsidR="002B26C9" w:rsidRDefault="00D42658" w:rsidP="00D42658">
      <w:pPr>
        <w:spacing w:line="480" w:lineRule="auto"/>
        <w:ind w:left="720" w:hanging="720"/>
        <w:rPr>
          <w:bCs/>
        </w:rPr>
      </w:pPr>
      <w:r>
        <w:rPr>
          <w:b/>
          <w:bCs/>
        </w:rPr>
        <w:t>A.</w:t>
      </w:r>
      <w:r>
        <w:rPr>
          <w:b/>
          <w:bCs/>
        </w:rPr>
        <w:tab/>
      </w:r>
      <w:r>
        <w:rPr>
          <w:bCs/>
        </w:rPr>
        <w:t>As shown in the table below</w:t>
      </w:r>
      <w:r w:rsidR="00366138">
        <w:rPr>
          <w:bCs/>
        </w:rPr>
        <w:t xml:space="preserve">, operation of the Company’s hedging program has resulted </w:t>
      </w:r>
      <w:r w:rsidR="00950DC0">
        <w:rPr>
          <w:bCs/>
        </w:rPr>
        <w:t xml:space="preserve">in </w:t>
      </w:r>
      <w:r>
        <w:rPr>
          <w:bCs/>
        </w:rPr>
        <w:t>considerable cost to ratepayers. The hedging program has increase</w:t>
      </w:r>
      <w:r w:rsidR="00366138">
        <w:rPr>
          <w:bCs/>
        </w:rPr>
        <w:t>d</w:t>
      </w:r>
      <w:r>
        <w:rPr>
          <w:bCs/>
        </w:rPr>
        <w:t xml:space="preserve"> FCR revenue requirement in every year except 2005 </w:t>
      </w:r>
      <w:r w:rsidR="000D5860">
        <w:rPr>
          <w:bCs/>
        </w:rPr>
        <w:t xml:space="preserve">and 2008 </w:t>
      </w:r>
      <w:r>
        <w:rPr>
          <w:bCs/>
        </w:rPr>
        <w:t>when it provided a small offset. In some years the additional cost has been significant.</w:t>
      </w:r>
      <w:r w:rsidR="002B26C9">
        <w:rPr>
          <w:bCs/>
        </w:rPr>
        <w:t xml:space="preserve"> Positive values in the table below represent increases in FCR revenue requirement and negative values represent decreases in FCR revenue requirement. The value for 2015 represent the first eight months of 2015.</w:t>
      </w:r>
    </w:p>
    <w:p w:rsidR="002B26C9" w:rsidRDefault="002B26C9" w:rsidP="00D42658">
      <w:pPr>
        <w:spacing w:line="480" w:lineRule="auto"/>
        <w:ind w:left="720" w:hanging="720"/>
        <w:rPr>
          <w:bCs/>
        </w:rPr>
      </w:pPr>
    </w:p>
    <w:p w:rsidR="002B26C9" w:rsidRDefault="002B26C9" w:rsidP="00D42658">
      <w:pPr>
        <w:spacing w:line="480" w:lineRule="auto"/>
        <w:ind w:left="720" w:hanging="720"/>
        <w:rPr>
          <w:bCs/>
        </w:rPr>
      </w:pPr>
      <w:r>
        <w:rPr>
          <w:bCs/>
        </w:rPr>
        <w:tab/>
      </w:r>
      <w:r>
        <w:rPr>
          <w:bCs/>
        </w:rPr>
        <w:tab/>
      </w:r>
      <w:r>
        <w:rPr>
          <w:bCs/>
        </w:rPr>
        <w:tab/>
      </w:r>
    </w:p>
    <w:tbl>
      <w:tblPr>
        <w:tblW w:w="2548" w:type="dxa"/>
        <w:tblInd w:w="3076" w:type="dxa"/>
        <w:tblLook w:val="04A0" w:firstRow="1" w:lastRow="0" w:firstColumn="1" w:lastColumn="0" w:noHBand="0" w:noVBand="1"/>
      </w:tblPr>
      <w:tblGrid>
        <w:gridCol w:w="1160"/>
        <w:gridCol w:w="1388"/>
      </w:tblGrid>
      <w:tr w:rsidR="002B26C9" w:rsidRPr="002B26C9" w:rsidTr="002B26C9">
        <w:trPr>
          <w:trHeight w:val="288"/>
        </w:trPr>
        <w:tc>
          <w:tcPr>
            <w:tcW w:w="1160" w:type="dxa"/>
            <w:tcBorders>
              <w:top w:val="nil"/>
              <w:left w:val="nil"/>
              <w:bottom w:val="nil"/>
              <w:right w:val="nil"/>
            </w:tcBorders>
            <w:shd w:val="clear" w:color="auto" w:fill="auto"/>
            <w:noWrap/>
            <w:vAlign w:val="bottom"/>
            <w:hideMark/>
          </w:tcPr>
          <w:p w:rsidR="002B26C9" w:rsidRPr="002B26C9" w:rsidRDefault="002B26C9" w:rsidP="002B26C9">
            <w:pPr>
              <w:rPr>
                <w:rFonts w:ascii="Calibri" w:hAnsi="Calibri"/>
                <w:color w:val="000000"/>
                <w:sz w:val="22"/>
                <w:szCs w:val="22"/>
              </w:rPr>
            </w:pPr>
          </w:p>
        </w:tc>
        <w:tc>
          <w:tcPr>
            <w:tcW w:w="1388" w:type="dxa"/>
            <w:tcBorders>
              <w:top w:val="nil"/>
              <w:left w:val="nil"/>
              <w:bottom w:val="nil"/>
              <w:right w:val="nil"/>
            </w:tcBorders>
            <w:shd w:val="clear" w:color="auto" w:fill="auto"/>
            <w:noWrap/>
            <w:vAlign w:val="bottom"/>
            <w:hideMark/>
          </w:tcPr>
          <w:p w:rsidR="002B26C9" w:rsidRPr="002B26C9" w:rsidRDefault="002B26C9" w:rsidP="002B26C9">
            <w:pPr>
              <w:jc w:val="center"/>
              <w:rPr>
                <w:rFonts w:ascii="Calibri" w:hAnsi="Calibri"/>
                <w:color w:val="000000"/>
                <w:sz w:val="22"/>
                <w:szCs w:val="22"/>
              </w:rPr>
            </w:pPr>
            <w:r w:rsidRPr="002B26C9">
              <w:rPr>
                <w:rFonts w:ascii="Calibri" w:hAnsi="Calibri"/>
                <w:color w:val="000000"/>
                <w:sz w:val="22"/>
                <w:szCs w:val="22"/>
              </w:rPr>
              <w:t xml:space="preserve">Hedging </w:t>
            </w:r>
          </w:p>
        </w:tc>
      </w:tr>
      <w:tr w:rsidR="002B26C9" w:rsidRPr="002B26C9" w:rsidTr="002B26C9">
        <w:trPr>
          <w:trHeight w:val="288"/>
        </w:trPr>
        <w:tc>
          <w:tcPr>
            <w:tcW w:w="1160" w:type="dxa"/>
            <w:tcBorders>
              <w:top w:val="nil"/>
              <w:left w:val="nil"/>
              <w:bottom w:val="nil"/>
              <w:right w:val="nil"/>
            </w:tcBorders>
            <w:shd w:val="clear" w:color="auto" w:fill="auto"/>
            <w:noWrap/>
            <w:vAlign w:val="bottom"/>
            <w:hideMark/>
          </w:tcPr>
          <w:p w:rsidR="002B26C9" w:rsidRPr="002B26C9" w:rsidRDefault="002B26C9" w:rsidP="002B26C9">
            <w:pPr>
              <w:rPr>
                <w:rFonts w:ascii="Calibri" w:hAnsi="Calibri"/>
                <w:color w:val="000000"/>
                <w:sz w:val="22"/>
                <w:szCs w:val="22"/>
              </w:rPr>
            </w:pPr>
          </w:p>
        </w:tc>
        <w:tc>
          <w:tcPr>
            <w:tcW w:w="1388" w:type="dxa"/>
            <w:tcBorders>
              <w:top w:val="nil"/>
              <w:left w:val="nil"/>
              <w:bottom w:val="nil"/>
              <w:right w:val="nil"/>
            </w:tcBorders>
            <w:shd w:val="clear" w:color="auto" w:fill="auto"/>
            <w:noWrap/>
            <w:vAlign w:val="bottom"/>
            <w:hideMark/>
          </w:tcPr>
          <w:p w:rsidR="002B26C9" w:rsidRPr="002B26C9" w:rsidRDefault="002B26C9" w:rsidP="002B26C9">
            <w:pPr>
              <w:jc w:val="center"/>
              <w:rPr>
                <w:rFonts w:ascii="Calibri" w:hAnsi="Calibri"/>
                <w:color w:val="000000"/>
                <w:sz w:val="22"/>
                <w:szCs w:val="22"/>
              </w:rPr>
            </w:pPr>
            <w:r w:rsidRPr="002B26C9">
              <w:rPr>
                <w:rFonts w:ascii="Calibri" w:hAnsi="Calibri"/>
                <w:color w:val="000000"/>
                <w:sz w:val="22"/>
                <w:szCs w:val="22"/>
              </w:rPr>
              <w:t xml:space="preserve">Program </w:t>
            </w:r>
          </w:p>
        </w:tc>
      </w:tr>
      <w:tr w:rsidR="002B26C9" w:rsidRPr="002B26C9" w:rsidTr="002B26C9">
        <w:trPr>
          <w:trHeight w:val="288"/>
        </w:trPr>
        <w:tc>
          <w:tcPr>
            <w:tcW w:w="1160" w:type="dxa"/>
            <w:tcBorders>
              <w:top w:val="nil"/>
              <w:left w:val="nil"/>
              <w:bottom w:val="nil"/>
              <w:right w:val="nil"/>
            </w:tcBorders>
            <w:shd w:val="clear" w:color="auto" w:fill="auto"/>
            <w:noWrap/>
            <w:vAlign w:val="bottom"/>
            <w:hideMark/>
          </w:tcPr>
          <w:p w:rsidR="002B26C9" w:rsidRPr="002B26C9" w:rsidRDefault="002B26C9" w:rsidP="002B26C9">
            <w:pPr>
              <w:rPr>
                <w:rFonts w:ascii="Calibri" w:hAnsi="Calibri"/>
                <w:color w:val="000000"/>
                <w:sz w:val="22"/>
                <w:szCs w:val="22"/>
              </w:rPr>
            </w:pPr>
          </w:p>
        </w:tc>
        <w:tc>
          <w:tcPr>
            <w:tcW w:w="1388" w:type="dxa"/>
            <w:tcBorders>
              <w:top w:val="nil"/>
              <w:left w:val="nil"/>
              <w:bottom w:val="nil"/>
              <w:right w:val="nil"/>
            </w:tcBorders>
            <w:shd w:val="clear" w:color="auto" w:fill="auto"/>
            <w:noWrap/>
            <w:vAlign w:val="bottom"/>
            <w:hideMark/>
          </w:tcPr>
          <w:p w:rsidR="002B26C9" w:rsidRPr="002B26C9" w:rsidRDefault="002B26C9" w:rsidP="002B26C9">
            <w:pPr>
              <w:jc w:val="center"/>
              <w:rPr>
                <w:rFonts w:ascii="Calibri" w:hAnsi="Calibri"/>
                <w:color w:val="000000"/>
                <w:sz w:val="22"/>
                <w:szCs w:val="22"/>
              </w:rPr>
            </w:pPr>
            <w:r w:rsidRPr="002B26C9">
              <w:rPr>
                <w:rFonts w:ascii="Calibri" w:hAnsi="Calibri"/>
                <w:color w:val="000000"/>
                <w:sz w:val="22"/>
                <w:szCs w:val="22"/>
              </w:rPr>
              <w:t>Impact on</w:t>
            </w:r>
          </w:p>
        </w:tc>
      </w:tr>
      <w:tr w:rsidR="002B26C9" w:rsidRPr="002B26C9" w:rsidTr="002B26C9">
        <w:trPr>
          <w:trHeight w:val="288"/>
        </w:trPr>
        <w:tc>
          <w:tcPr>
            <w:tcW w:w="1160" w:type="dxa"/>
            <w:tcBorders>
              <w:top w:val="nil"/>
              <w:left w:val="nil"/>
              <w:bottom w:val="nil"/>
              <w:right w:val="nil"/>
            </w:tcBorders>
            <w:shd w:val="clear" w:color="auto" w:fill="auto"/>
            <w:noWrap/>
            <w:vAlign w:val="bottom"/>
            <w:hideMark/>
          </w:tcPr>
          <w:p w:rsidR="002B26C9" w:rsidRPr="002B26C9" w:rsidRDefault="002B26C9" w:rsidP="002B26C9">
            <w:pPr>
              <w:rPr>
                <w:rFonts w:ascii="Calibri" w:hAnsi="Calibri"/>
                <w:color w:val="000000"/>
                <w:sz w:val="22"/>
                <w:szCs w:val="22"/>
              </w:rPr>
            </w:pPr>
          </w:p>
        </w:tc>
        <w:tc>
          <w:tcPr>
            <w:tcW w:w="1388" w:type="dxa"/>
            <w:tcBorders>
              <w:top w:val="nil"/>
              <w:left w:val="nil"/>
              <w:bottom w:val="nil"/>
              <w:right w:val="nil"/>
            </w:tcBorders>
            <w:shd w:val="clear" w:color="auto" w:fill="auto"/>
            <w:noWrap/>
            <w:vAlign w:val="bottom"/>
            <w:hideMark/>
          </w:tcPr>
          <w:p w:rsidR="002B26C9" w:rsidRPr="002B26C9" w:rsidRDefault="002B26C9" w:rsidP="002B26C9">
            <w:pPr>
              <w:jc w:val="center"/>
              <w:rPr>
                <w:rFonts w:ascii="Calibri" w:hAnsi="Calibri"/>
                <w:color w:val="000000"/>
                <w:sz w:val="22"/>
                <w:szCs w:val="22"/>
              </w:rPr>
            </w:pPr>
            <w:r w:rsidRPr="002B26C9">
              <w:rPr>
                <w:rFonts w:ascii="Calibri" w:hAnsi="Calibri"/>
                <w:color w:val="000000"/>
                <w:sz w:val="22"/>
                <w:szCs w:val="22"/>
              </w:rPr>
              <w:t>FCR Revenue</w:t>
            </w:r>
          </w:p>
        </w:tc>
      </w:tr>
      <w:tr w:rsidR="002B26C9" w:rsidRPr="002B26C9" w:rsidTr="002B26C9">
        <w:trPr>
          <w:trHeight w:val="288"/>
        </w:trPr>
        <w:tc>
          <w:tcPr>
            <w:tcW w:w="1160" w:type="dxa"/>
            <w:tcBorders>
              <w:top w:val="nil"/>
              <w:left w:val="nil"/>
              <w:bottom w:val="nil"/>
              <w:right w:val="nil"/>
            </w:tcBorders>
            <w:shd w:val="clear" w:color="auto" w:fill="auto"/>
            <w:noWrap/>
            <w:vAlign w:val="bottom"/>
            <w:hideMark/>
          </w:tcPr>
          <w:p w:rsidR="002B26C9" w:rsidRPr="002B26C9" w:rsidRDefault="002B26C9" w:rsidP="002B26C9">
            <w:pPr>
              <w:rPr>
                <w:rFonts w:ascii="Calibri" w:hAnsi="Calibri"/>
                <w:color w:val="000000"/>
                <w:sz w:val="22"/>
                <w:szCs w:val="22"/>
              </w:rPr>
            </w:pPr>
          </w:p>
        </w:tc>
        <w:tc>
          <w:tcPr>
            <w:tcW w:w="1388" w:type="dxa"/>
            <w:tcBorders>
              <w:top w:val="nil"/>
              <w:left w:val="nil"/>
              <w:bottom w:val="nil"/>
              <w:right w:val="nil"/>
            </w:tcBorders>
            <w:shd w:val="clear" w:color="auto" w:fill="auto"/>
            <w:noWrap/>
            <w:vAlign w:val="bottom"/>
            <w:hideMark/>
          </w:tcPr>
          <w:p w:rsidR="002B26C9" w:rsidRPr="002B26C9" w:rsidRDefault="002B26C9" w:rsidP="002B26C9">
            <w:pPr>
              <w:jc w:val="center"/>
              <w:rPr>
                <w:rFonts w:ascii="Calibri" w:hAnsi="Calibri"/>
                <w:color w:val="000000"/>
                <w:sz w:val="22"/>
                <w:szCs w:val="22"/>
              </w:rPr>
            </w:pPr>
            <w:r w:rsidRPr="002B26C9">
              <w:rPr>
                <w:rFonts w:ascii="Calibri" w:hAnsi="Calibri"/>
                <w:color w:val="000000"/>
                <w:sz w:val="22"/>
                <w:szCs w:val="22"/>
              </w:rPr>
              <w:t>Requirement</w:t>
            </w:r>
          </w:p>
        </w:tc>
      </w:tr>
      <w:tr w:rsidR="002B26C9" w:rsidRPr="002B26C9" w:rsidTr="002B26C9">
        <w:trPr>
          <w:trHeight w:val="288"/>
        </w:trPr>
        <w:tc>
          <w:tcPr>
            <w:tcW w:w="1160" w:type="dxa"/>
            <w:tcBorders>
              <w:top w:val="nil"/>
              <w:left w:val="nil"/>
              <w:bottom w:val="single" w:sz="4" w:space="0" w:color="auto"/>
              <w:right w:val="nil"/>
            </w:tcBorders>
            <w:shd w:val="clear" w:color="auto" w:fill="auto"/>
            <w:noWrap/>
            <w:vAlign w:val="bottom"/>
            <w:hideMark/>
          </w:tcPr>
          <w:p w:rsidR="002B26C9" w:rsidRPr="002B26C9" w:rsidRDefault="002B26C9" w:rsidP="002B26C9">
            <w:pPr>
              <w:jc w:val="center"/>
              <w:rPr>
                <w:rFonts w:ascii="Calibri" w:hAnsi="Calibri"/>
                <w:color w:val="000000"/>
                <w:sz w:val="22"/>
                <w:szCs w:val="22"/>
              </w:rPr>
            </w:pPr>
            <w:r w:rsidRPr="002B26C9">
              <w:rPr>
                <w:rFonts w:ascii="Calibri" w:hAnsi="Calibri"/>
                <w:color w:val="000000"/>
                <w:sz w:val="22"/>
                <w:szCs w:val="22"/>
              </w:rPr>
              <w:t>Year</w:t>
            </w:r>
          </w:p>
        </w:tc>
        <w:tc>
          <w:tcPr>
            <w:tcW w:w="1388" w:type="dxa"/>
            <w:tcBorders>
              <w:top w:val="nil"/>
              <w:left w:val="nil"/>
              <w:bottom w:val="single" w:sz="4" w:space="0" w:color="auto"/>
              <w:right w:val="nil"/>
            </w:tcBorders>
            <w:shd w:val="clear" w:color="auto" w:fill="auto"/>
            <w:noWrap/>
            <w:vAlign w:val="bottom"/>
            <w:hideMark/>
          </w:tcPr>
          <w:p w:rsidR="002B26C9" w:rsidRPr="002B26C9" w:rsidRDefault="002B26C9" w:rsidP="002B26C9">
            <w:pPr>
              <w:jc w:val="center"/>
              <w:rPr>
                <w:rFonts w:ascii="Calibri" w:hAnsi="Calibri"/>
                <w:color w:val="000000"/>
                <w:sz w:val="22"/>
                <w:szCs w:val="22"/>
              </w:rPr>
            </w:pPr>
            <w:r w:rsidRPr="002B26C9">
              <w:rPr>
                <w:rFonts w:ascii="Calibri" w:hAnsi="Calibri"/>
                <w:color w:val="000000"/>
                <w:sz w:val="22"/>
                <w:szCs w:val="22"/>
              </w:rPr>
              <w:t>($ million)</w:t>
            </w:r>
          </w:p>
        </w:tc>
      </w:tr>
      <w:tr w:rsidR="002B26C9" w:rsidRPr="009536F1" w:rsidTr="002B26C9">
        <w:trPr>
          <w:trHeight w:val="288"/>
        </w:trPr>
        <w:tc>
          <w:tcPr>
            <w:tcW w:w="1160" w:type="dxa"/>
            <w:tcBorders>
              <w:top w:val="nil"/>
              <w:left w:val="nil"/>
              <w:bottom w:val="nil"/>
              <w:right w:val="nil"/>
            </w:tcBorders>
            <w:shd w:val="clear" w:color="auto" w:fill="auto"/>
            <w:noWrap/>
            <w:vAlign w:val="bottom"/>
            <w:hideMark/>
          </w:tcPr>
          <w:p w:rsidR="002B26C9" w:rsidRPr="002B26C9" w:rsidRDefault="002B26C9" w:rsidP="002B26C9">
            <w:pPr>
              <w:jc w:val="center"/>
              <w:rPr>
                <w:rFonts w:ascii="Calibri" w:hAnsi="Calibri"/>
                <w:color w:val="000000"/>
                <w:sz w:val="22"/>
                <w:szCs w:val="22"/>
              </w:rPr>
            </w:pPr>
            <w:r w:rsidRPr="002B26C9">
              <w:rPr>
                <w:rFonts w:ascii="Calibri" w:hAnsi="Calibri"/>
                <w:color w:val="000000"/>
                <w:sz w:val="22"/>
                <w:szCs w:val="22"/>
              </w:rPr>
              <w:t>2005</w:t>
            </w:r>
          </w:p>
        </w:tc>
        <w:tc>
          <w:tcPr>
            <w:tcW w:w="1388" w:type="dxa"/>
            <w:tcBorders>
              <w:top w:val="nil"/>
              <w:left w:val="nil"/>
              <w:bottom w:val="nil"/>
              <w:right w:val="nil"/>
            </w:tcBorders>
            <w:shd w:val="clear" w:color="auto" w:fill="auto"/>
            <w:noWrap/>
            <w:vAlign w:val="bottom"/>
            <w:hideMark/>
          </w:tcPr>
          <w:p w:rsidR="002B26C9" w:rsidRPr="009536F1" w:rsidRDefault="002B26C9" w:rsidP="002B26C9">
            <w:pPr>
              <w:jc w:val="right"/>
              <w:rPr>
                <w:rFonts w:ascii="Calibri" w:hAnsi="Calibri"/>
                <w:color w:val="000000"/>
                <w:sz w:val="22"/>
                <w:szCs w:val="22"/>
              </w:rPr>
            </w:pPr>
            <w:r w:rsidRPr="009536F1">
              <w:rPr>
                <w:rFonts w:ascii="Calibri" w:hAnsi="Calibri"/>
                <w:color w:val="000000"/>
                <w:sz w:val="22"/>
                <w:szCs w:val="22"/>
              </w:rPr>
              <w:t>-$48</w:t>
            </w:r>
          </w:p>
        </w:tc>
      </w:tr>
      <w:tr w:rsidR="002B26C9" w:rsidRPr="009536F1" w:rsidTr="002B26C9">
        <w:trPr>
          <w:trHeight w:val="288"/>
        </w:trPr>
        <w:tc>
          <w:tcPr>
            <w:tcW w:w="1160" w:type="dxa"/>
            <w:tcBorders>
              <w:top w:val="nil"/>
              <w:left w:val="nil"/>
              <w:bottom w:val="nil"/>
              <w:right w:val="nil"/>
            </w:tcBorders>
            <w:shd w:val="clear" w:color="auto" w:fill="auto"/>
            <w:noWrap/>
            <w:vAlign w:val="bottom"/>
            <w:hideMark/>
          </w:tcPr>
          <w:p w:rsidR="002B26C9" w:rsidRPr="002B26C9" w:rsidRDefault="002B26C9" w:rsidP="002B26C9">
            <w:pPr>
              <w:jc w:val="center"/>
              <w:rPr>
                <w:rFonts w:ascii="Calibri" w:hAnsi="Calibri"/>
                <w:color w:val="000000"/>
                <w:sz w:val="22"/>
                <w:szCs w:val="22"/>
              </w:rPr>
            </w:pPr>
            <w:r w:rsidRPr="002B26C9">
              <w:rPr>
                <w:rFonts w:ascii="Calibri" w:hAnsi="Calibri"/>
                <w:color w:val="000000"/>
                <w:sz w:val="22"/>
                <w:szCs w:val="22"/>
              </w:rPr>
              <w:t>2006</w:t>
            </w:r>
          </w:p>
        </w:tc>
        <w:tc>
          <w:tcPr>
            <w:tcW w:w="1388" w:type="dxa"/>
            <w:tcBorders>
              <w:top w:val="nil"/>
              <w:left w:val="nil"/>
              <w:bottom w:val="nil"/>
              <w:right w:val="nil"/>
            </w:tcBorders>
            <w:shd w:val="clear" w:color="auto" w:fill="auto"/>
            <w:noWrap/>
            <w:vAlign w:val="bottom"/>
            <w:hideMark/>
          </w:tcPr>
          <w:p w:rsidR="002B26C9" w:rsidRPr="009536F1" w:rsidRDefault="002B26C9" w:rsidP="002B26C9">
            <w:pPr>
              <w:jc w:val="right"/>
              <w:rPr>
                <w:rFonts w:ascii="Calibri" w:hAnsi="Calibri"/>
                <w:color w:val="000000"/>
                <w:sz w:val="22"/>
                <w:szCs w:val="22"/>
              </w:rPr>
            </w:pPr>
            <w:r w:rsidRPr="009536F1">
              <w:rPr>
                <w:rFonts w:ascii="Calibri" w:hAnsi="Calibri"/>
                <w:color w:val="000000"/>
                <w:sz w:val="22"/>
                <w:szCs w:val="22"/>
              </w:rPr>
              <w:t>$66</w:t>
            </w:r>
          </w:p>
        </w:tc>
      </w:tr>
      <w:tr w:rsidR="002B26C9" w:rsidRPr="009536F1" w:rsidTr="002B26C9">
        <w:trPr>
          <w:trHeight w:val="288"/>
        </w:trPr>
        <w:tc>
          <w:tcPr>
            <w:tcW w:w="1160" w:type="dxa"/>
            <w:tcBorders>
              <w:top w:val="nil"/>
              <w:left w:val="nil"/>
              <w:bottom w:val="nil"/>
              <w:right w:val="nil"/>
            </w:tcBorders>
            <w:shd w:val="clear" w:color="auto" w:fill="auto"/>
            <w:noWrap/>
            <w:vAlign w:val="bottom"/>
            <w:hideMark/>
          </w:tcPr>
          <w:p w:rsidR="002B26C9" w:rsidRPr="002B26C9" w:rsidRDefault="002B26C9" w:rsidP="002B26C9">
            <w:pPr>
              <w:jc w:val="center"/>
              <w:rPr>
                <w:rFonts w:ascii="Calibri" w:hAnsi="Calibri"/>
                <w:color w:val="000000"/>
                <w:sz w:val="22"/>
                <w:szCs w:val="22"/>
              </w:rPr>
            </w:pPr>
            <w:r w:rsidRPr="002B26C9">
              <w:rPr>
                <w:rFonts w:ascii="Calibri" w:hAnsi="Calibri"/>
                <w:color w:val="000000"/>
                <w:sz w:val="22"/>
                <w:szCs w:val="22"/>
              </w:rPr>
              <w:t>2007</w:t>
            </w:r>
          </w:p>
        </w:tc>
        <w:tc>
          <w:tcPr>
            <w:tcW w:w="1388" w:type="dxa"/>
            <w:tcBorders>
              <w:top w:val="nil"/>
              <w:left w:val="nil"/>
              <w:bottom w:val="nil"/>
              <w:right w:val="nil"/>
            </w:tcBorders>
            <w:shd w:val="clear" w:color="auto" w:fill="auto"/>
            <w:noWrap/>
            <w:vAlign w:val="bottom"/>
            <w:hideMark/>
          </w:tcPr>
          <w:p w:rsidR="002B26C9" w:rsidRPr="009536F1" w:rsidRDefault="002B26C9" w:rsidP="002B26C9">
            <w:pPr>
              <w:jc w:val="right"/>
              <w:rPr>
                <w:rFonts w:ascii="Calibri" w:hAnsi="Calibri"/>
                <w:color w:val="000000"/>
                <w:sz w:val="22"/>
                <w:szCs w:val="22"/>
              </w:rPr>
            </w:pPr>
            <w:r w:rsidRPr="009536F1">
              <w:rPr>
                <w:rFonts w:ascii="Calibri" w:hAnsi="Calibri"/>
                <w:color w:val="000000"/>
                <w:sz w:val="22"/>
                <w:szCs w:val="22"/>
              </w:rPr>
              <w:t>$67</w:t>
            </w:r>
          </w:p>
        </w:tc>
      </w:tr>
      <w:tr w:rsidR="002B26C9" w:rsidRPr="009536F1" w:rsidTr="002B26C9">
        <w:trPr>
          <w:trHeight w:val="288"/>
        </w:trPr>
        <w:tc>
          <w:tcPr>
            <w:tcW w:w="1160" w:type="dxa"/>
            <w:tcBorders>
              <w:top w:val="nil"/>
              <w:left w:val="nil"/>
              <w:bottom w:val="nil"/>
              <w:right w:val="nil"/>
            </w:tcBorders>
            <w:shd w:val="clear" w:color="auto" w:fill="auto"/>
            <w:noWrap/>
            <w:vAlign w:val="bottom"/>
            <w:hideMark/>
          </w:tcPr>
          <w:p w:rsidR="002B26C9" w:rsidRPr="002B26C9" w:rsidRDefault="002B26C9" w:rsidP="002B26C9">
            <w:pPr>
              <w:jc w:val="center"/>
              <w:rPr>
                <w:rFonts w:ascii="Calibri" w:hAnsi="Calibri"/>
                <w:color w:val="000000"/>
                <w:sz w:val="22"/>
                <w:szCs w:val="22"/>
              </w:rPr>
            </w:pPr>
            <w:r w:rsidRPr="002B26C9">
              <w:rPr>
                <w:rFonts w:ascii="Calibri" w:hAnsi="Calibri"/>
                <w:color w:val="000000"/>
                <w:sz w:val="22"/>
                <w:szCs w:val="22"/>
              </w:rPr>
              <w:t>2008</w:t>
            </w:r>
          </w:p>
        </w:tc>
        <w:tc>
          <w:tcPr>
            <w:tcW w:w="1388" w:type="dxa"/>
            <w:tcBorders>
              <w:top w:val="nil"/>
              <w:left w:val="nil"/>
              <w:bottom w:val="nil"/>
              <w:right w:val="nil"/>
            </w:tcBorders>
            <w:shd w:val="clear" w:color="auto" w:fill="auto"/>
            <w:noWrap/>
            <w:vAlign w:val="bottom"/>
            <w:hideMark/>
          </w:tcPr>
          <w:p w:rsidR="002B26C9" w:rsidRPr="009536F1" w:rsidRDefault="002B26C9" w:rsidP="002B26C9">
            <w:pPr>
              <w:jc w:val="right"/>
              <w:rPr>
                <w:rFonts w:ascii="Calibri" w:hAnsi="Calibri"/>
                <w:color w:val="000000"/>
                <w:sz w:val="22"/>
                <w:szCs w:val="22"/>
              </w:rPr>
            </w:pPr>
            <w:r w:rsidRPr="009536F1">
              <w:rPr>
                <w:rFonts w:ascii="Calibri" w:hAnsi="Calibri"/>
                <w:color w:val="000000"/>
                <w:sz w:val="22"/>
                <w:szCs w:val="22"/>
              </w:rPr>
              <w:t>-$6</w:t>
            </w:r>
          </w:p>
        </w:tc>
      </w:tr>
      <w:tr w:rsidR="002B26C9" w:rsidRPr="009536F1" w:rsidTr="002B26C9">
        <w:trPr>
          <w:trHeight w:val="288"/>
        </w:trPr>
        <w:tc>
          <w:tcPr>
            <w:tcW w:w="1160" w:type="dxa"/>
            <w:tcBorders>
              <w:top w:val="nil"/>
              <w:left w:val="nil"/>
              <w:bottom w:val="nil"/>
              <w:right w:val="nil"/>
            </w:tcBorders>
            <w:shd w:val="clear" w:color="auto" w:fill="auto"/>
            <w:noWrap/>
            <w:vAlign w:val="bottom"/>
            <w:hideMark/>
          </w:tcPr>
          <w:p w:rsidR="002B26C9" w:rsidRPr="002B26C9" w:rsidRDefault="002B26C9" w:rsidP="002B26C9">
            <w:pPr>
              <w:jc w:val="center"/>
              <w:rPr>
                <w:rFonts w:ascii="Calibri" w:hAnsi="Calibri"/>
                <w:color w:val="000000"/>
                <w:sz w:val="22"/>
                <w:szCs w:val="22"/>
              </w:rPr>
            </w:pPr>
            <w:r w:rsidRPr="002B26C9">
              <w:rPr>
                <w:rFonts w:ascii="Calibri" w:hAnsi="Calibri"/>
                <w:color w:val="000000"/>
                <w:sz w:val="22"/>
                <w:szCs w:val="22"/>
              </w:rPr>
              <w:t>2009</w:t>
            </w:r>
          </w:p>
        </w:tc>
        <w:tc>
          <w:tcPr>
            <w:tcW w:w="1388" w:type="dxa"/>
            <w:tcBorders>
              <w:top w:val="nil"/>
              <w:left w:val="nil"/>
              <w:bottom w:val="nil"/>
              <w:right w:val="nil"/>
            </w:tcBorders>
            <w:shd w:val="clear" w:color="auto" w:fill="auto"/>
            <w:noWrap/>
            <w:vAlign w:val="bottom"/>
            <w:hideMark/>
          </w:tcPr>
          <w:p w:rsidR="002B26C9" w:rsidRPr="009536F1" w:rsidRDefault="002B26C9" w:rsidP="002B26C9">
            <w:pPr>
              <w:jc w:val="right"/>
              <w:rPr>
                <w:rFonts w:ascii="Calibri" w:hAnsi="Calibri"/>
                <w:color w:val="000000"/>
                <w:sz w:val="22"/>
                <w:szCs w:val="22"/>
              </w:rPr>
            </w:pPr>
            <w:r w:rsidRPr="009536F1">
              <w:rPr>
                <w:rFonts w:ascii="Calibri" w:hAnsi="Calibri"/>
                <w:color w:val="000000"/>
                <w:sz w:val="22"/>
                <w:szCs w:val="22"/>
              </w:rPr>
              <w:t>$184</w:t>
            </w:r>
          </w:p>
        </w:tc>
      </w:tr>
      <w:tr w:rsidR="002B26C9" w:rsidRPr="009536F1" w:rsidTr="002B26C9">
        <w:trPr>
          <w:trHeight w:val="288"/>
        </w:trPr>
        <w:tc>
          <w:tcPr>
            <w:tcW w:w="1160" w:type="dxa"/>
            <w:tcBorders>
              <w:top w:val="nil"/>
              <w:left w:val="nil"/>
              <w:bottom w:val="nil"/>
              <w:right w:val="nil"/>
            </w:tcBorders>
            <w:shd w:val="clear" w:color="auto" w:fill="auto"/>
            <w:noWrap/>
            <w:vAlign w:val="bottom"/>
            <w:hideMark/>
          </w:tcPr>
          <w:p w:rsidR="002B26C9" w:rsidRPr="002B26C9" w:rsidRDefault="002B26C9" w:rsidP="002B26C9">
            <w:pPr>
              <w:jc w:val="center"/>
              <w:rPr>
                <w:rFonts w:ascii="Calibri" w:hAnsi="Calibri"/>
                <w:color w:val="000000"/>
                <w:sz w:val="22"/>
                <w:szCs w:val="22"/>
              </w:rPr>
            </w:pPr>
            <w:r w:rsidRPr="002B26C9">
              <w:rPr>
                <w:rFonts w:ascii="Calibri" w:hAnsi="Calibri"/>
                <w:color w:val="000000"/>
                <w:sz w:val="22"/>
                <w:szCs w:val="22"/>
              </w:rPr>
              <w:t>2010</w:t>
            </w:r>
          </w:p>
        </w:tc>
        <w:tc>
          <w:tcPr>
            <w:tcW w:w="1388" w:type="dxa"/>
            <w:tcBorders>
              <w:top w:val="nil"/>
              <w:left w:val="nil"/>
              <w:bottom w:val="nil"/>
              <w:right w:val="nil"/>
            </w:tcBorders>
            <w:shd w:val="clear" w:color="auto" w:fill="auto"/>
            <w:noWrap/>
            <w:vAlign w:val="bottom"/>
            <w:hideMark/>
          </w:tcPr>
          <w:p w:rsidR="002B26C9" w:rsidRPr="009536F1" w:rsidRDefault="002B26C9" w:rsidP="002B26C9">
            <w:pPr>
              <w:jc w:val="right"/>
              <w:rPr>
                <w:rFonts w:ascii="Calibri" w:hAnsi="Calibri"/>
                <w:color w:val="000000"/>
                <w:sz w:val="22"/>
                <w:szCs w:val="22"/>
              </w:rPr>
            </w:pPr>
            <w:r w:rsidRPr="009536F1">
              <w:rPr>
                <w:rFonts w:ascii="Calibri" w:hAnsi="Calibri"/>
                <w:color w:val="000000"/>
                <w:sz w:val="22"/>
                <w:szCs w:val="22"/>
              </w:rPr>
              <w:t>$90</w:t>
            </w:r>
          </w:p>
        </w:tc>
      </w:tr>
      <w:tr w:rsidR="002B26C9" w:rsidRPr="009536F1" w:rsidTr="002B26C9">
        <w:trPr>
          <w:trHeight w:val="288"/>
        </w:trPr>
        <w:tc>
          <w:tcPr>
            <w:tcW w:w="1160" w:type="dxa"/>
            <w:tcBorders>
              <w:top w:val="nil"/>
              <w:left w:val="nil"/>
              <w:bottom w:val="nil"/>
              <w:right w:val="nil"/>
            </w:tcBorders>
            <w:shd w:val="clear" w:color="auto" w:fill="auto"/>
            <w:noWrap/>
            <w:vAlign w:val="bottom"/>
            <w:hideMark/>
          </w:tcPr>
          <w:p w:rsidR="002B26C9" w:rsidRPr="002B26C9" w:rsidRDefault="002B26C9" w:rsidP="002B26C9">
            <w:pPr>
              <w:jc w:val="center"/>
              <w:rPr>
                <w:rFonts w:ascii="Calibri" w:hAnsi="Calibri"/>
                <w:color w:val="000000"/>
                <w:sz w:val="22"/>
                <w:szCs w:val="22"/>
              </w:rPr>
            </w:pPr>
            <w:r w:rsidRPr="002B26C9">
              <w:rPr>
                <w:rFonts w:ascii="Calibri" w:hAnsi="Calibri"/>
                <w:color w:val="000000"/>
                <w:sz w:val="22"/>
                <w:szCs w:val="22"/>
              </w:rPr>
              <w:t>2011</w:t>
            </w:r>
          </w:p>
        </w:tc>
        <w:tc>
          <w:tcPr>
            <w:tcW w:w="1388" w:type="dxa"/>
            <w:tcBorders>
              <w:top w:val="nil"/>
              <w:left w:val="nil"/>
              <w:bottom w:val="nil"/>
              <w:right w:val="nil"/>
            </w:tcBorders>
            <w:shd w:val="clear" w:color="auto" w:fill="auto"/>
            <w:noWrap/>
            <w:vAlign w:val="bottom"/>
            <w:hideMark/>
          </w:tcPr>
          <w:p w:rsidR="002B26C9" w:rsidRPr="009536F1" w:rsidRDefault="002B26C9" w:rsidP="002B26C9">
            <w:pPr>
              <w:jc w:val="right"/>
              <w:rPr>
                <w:rFonts w:ascii="Calibri" w:hAnsi="Calibri"/>
                <w:color w:val="000000"/>
                <w:sz w:val="22"/>
                <w:szCs w:val="22"/>
              </w:rPr>
            </w:pPr>
            <w:r w:rsidRPr="009536F1">
              <w:rPr>
                <w:rFonts w:ascii="Calibri" w:hAnsi="Calibri"/>
                <w:color w:val="000000"/>
                <w:sz w:val="22"/>
                <w:szCs w:val="22"/>
              </w:rPr>
              <w:t>$106</w:t>
            </w:r>
          </w:p>
        </w:tc>
      </w:tr>
      <w:tr w:rsidR="002B26C9" w:rsidRPr="009536F1" w:rsidTr="002B26C9">
        <w:trPr>
          <w:trHeight w:val="288"/>
        </w:trPr>
        <w:tc>
          <w:tcPr>
            <w:tcW w:w="1160" w:type="dxa"/>
            <w:tcBorders>
              <w:top w:val="nil"/>
              <w:left w:val="nil"/>
              <w:bottom w:val="nil"/>
              <w:right w:val="nil"/>
            </w:tcBorders>
            <w:shd w:val="clear" w:color="auto" w:fill="auto"/>
            <w:noWrap/>
            <w:vAlign w:val="bottom"/>
            <w:hideMark/>
          </w:tcPr>
          <w:p w:rsidR="002B26C9" w:rsidRPr="002B26C9" w:rsidRDefault="002B26C9" w:rsidP="002B26C9">
            <w:pPr>
              <w:jc w:val="center"/>
              <w:rPr>
                <w:rFonts w:ascii="Calibri" w:hAnsi="Calibri"/>
                <w:color w:val="000000"/>
                <w:sz w:val="22"/>
                <w:szCs w:val="22"/>
              </w:rPr>
            </w:pPr>
            <w:r w:rsidRPr="002B26C9">
              <w:rPr>
                <w:rFonts w:ascii="Calibri" w:hAnsi="Calibri"/>
                <w:color w:val="000000"/>
                <w:sz w:val="22"/>
                <w:szCs w:val="22"/>
              </w:rPr>
              <w:t>2012</w:t>
            </w:r>
          </w:p>
        </w:tc>
        <w:tc>
          <w:tcPr>
            <w:tcW w:w="1388" w:type="dxa"/>
            <w:tcBorders>
              <w:top w:val="nil"/>
              <w:left w:val="nil"/>
              <w:bottom w:val="nil"/>
              <w:right w:val="nil"/>
            </w:tcBorders>
            <w:shd w:val="clear" w:color="auto" w:fill="auto"/>
            <w:noWrap/>
            <w:vAlign w:val="bottom"/>
            <w:hideMark/>
          </w:tcPr>
          <w:p w:rsidR="002B26C9" w:rsidRPr="009536F1" w:rsidRDefault="002B26C9" w:rsidP="002B26C9">
            <w:pPr>
              <w:jc w:val="right"/>
              <w:rPr>
                <w:rFonts w:ascii="Calibri" w:hAnsi="Calibri"/>
                <w:color w:val="000000"/>
                <w:sz w:val="22"/>
                <w:szCs w:val="22"/>
              </w:rPr>
            </w:pPr>
            <w:r w:rsidRPr="009536F1">
              <w:rPr>
                <w:rFonts w:ascii="Calibri" w:hAnsi="Calibri"/>
                <w:color w:val="000000"/>
                <w:sz w:val="22"/>
                <w:szCs w:val="22"/>
              </w:rPr>
              <w:t>$86</w:t>
            </w:r>
          </w:p>
        </w:tc>
      </w:tr>
      <w:tr w:rsidR="002B26C9" w:rsidRPr="009536F1" w:rsidTr="002B26C9">
        <w:trPr>
          <w:trHeight w:val="288"/>
        </w:trPr>
        <w:tc>
          <w:tcPr>
            <w:tcW w:w="1160" w:type="dxa"/>
            <w:tcBorders>
              <w:top w:val="nil"/>
              <w:left w:val="nil"/>
              <w:bottom w:val="nil"/>
              <w:right w:val="nil"/>
            </w:tcBorders>
            <w:shd w:val="clear" w:color="auto" w:fill="auto"/>
            <w:noWrap/>
            <w:vAlign w:val="bottom"/>
            <w:hideMark/>
          </w:tcPr>
          <w:p w:rsidR="002B26C9" w:rsidRPr="002B26C9" w:rsidRDefault="002B26C9" w:rsidP="002B26C9">
            <w:pPr>
              <w:jc w:val="center"/>
              <w:rPr>
                <w:rFonts w:ascii="Calibri" w:hAnsi="Calibri"/>
                <w:color w:val="000000"/>
                <w:sz w:val="22"/>
                <w:szCs w:val="22"/>
              </w:rPr>
            </w:pPr>
            <w:r w:rsidRPr="002B26C9">
              <w:rPr>
                <w:rFonts w:ascii="Calibri" w:hAnsi="Calibri"/>
                <w:color w:val="000000"/>
                <w:sz w:val="22"/>
                <w:szCs w:val="22"/>
              </w:rPr>
              <w:t>2013</w:t>
            </w:r>
          </w:p>
        </w:tc>
        <w:tc>
          <w:tcPr>
            <w:tcW w:w="1388" w:type="dxa"/>
            <w:tcBorders>
              <w:top w:val="nil"/>
              <w:left w:val="nil"/>
              <w:bottom w:val="nil"/>
              <w:right w:val="nil"/>
            </w:tcBorders>
            <w:shd w:val="clear" w:color="auto" w:fill="auto"/>
            <w:noWrap/>
            <w:vAlign w:val="bottom"/>
            <w:hideMark/>
          </w:tcPr>
          <w:p w:rsidR="002B26C9" w:rsidRPr="009536F1" w:rsidRDefault="002B26C9" w:rsidP="002B26C9">
            <w:pPr>
              <w:jc w:val="right"/>
              <w:rPr>
                <w:rFonts w:ascii="Calibri" w:hAnsi="Calibri"/>
                <w:color w:val="000000"/>
                <w:sz w:val="22"/>
                <w:szCs w:val="22"/>
              </w:rPr>
            </w:pPr>
            <w:r w:rsidRPr="009536F1">
              <w:rPr>
                <w:rFonts w:ascii="Calibri" w:hAnsi="Calibri"/>
                <w:color w:val="000000"/>
                <w:sz w:val="22"/>
                <w:szCs w:val="22"/>
              </w:rPr>
              <w:t>$33</w:t>
            </w:r>
          </w:p>
        </w:tc>
      </w:tr>
      <w:tr w:rsidR="002B26C9" w:rsidRPr="009536F1" w:rsidTr="002B26C9">
        <w:trPr>
          <w:trHeight w:val="288"/>
        </w:trPr>
        <w:tc>
          <w:tcPr>
            <w:tcW w:w="1160" w:type="dxa"/>
            <w:tcBorders>
              <w:top w:val="nil"/>
              <w:left w:val="nil"/>
              <w:bottom w:val="nil"/>
              <w:right w:val="nil"/>
            </w:tcBorders>
            <w:shd w:val="clear" w:color="auto" w:fill="auto"/>
            <w:noWrap/>
            <w:vAlign w:val="bottom"/>
            <w:hideMark/>
          </w:tcPr>
          <w:p w:rsidR="002B26C9" w:rsidRPr="002B26C9" w:rsidRDefault="002B26C9" w:rsidP="002B26C9">
            <w:pPr>
              <w:jc w:val="center"/>
              <w:rPr>
                <w:rFonts w:ascii="Calibri" w:hAnsi="Calibri"/>
                <w:color w:val="000000"/>
                <w:sz w:val="22"/>
                <w:szCs w:val="22"/>
              </w:rPr>
            </w:pPr>
            <w:r w:rsidRPr="002B26C9">
              <w:rPr>
                <w:rFonts w:ascii="Calibri" w:hAnsi="Calibri"/>
                <w:color w:val="000000"/>
                <w:sz w:val="22"/>
                <w:szCs w:val="22"/>
              </w:rPr>
              <w:t>2014</w:t>
            </w:r>
          </w:p>
        </w:tc>
        <w:tc>
          <w:tcPr>
            <w:tcW w:w="1388" w:type="dxa"/>
            <w:tcBorders>
              <w:top w:val="nil"/>
              <w:left w:val="nil"/>
              <w:bottom w:val="nil"/>
              <w:right w:val="nil"/>
            </w:tcBorders>
            <w:shd w:val="clear" w:color="auto" w:fill="auto"/>
            <w:noWrap/>
            <w:vAlign w:val="bottom"/>
            <w:hideMark/>
          </w:tcPr>
          <w:p w:rsidR="002B26C9" w:rsidRPr="009536F1" w:rsidRDefault="002B26C9" w:rsidP="002B26C9">
            <w:pPr>
              <w:jc w:val="right"/>
              <w:rPr>
                <w:rFonts w:ascii="Calibri" w:hAnsi="Calibri"/>
                <w:color w:val="000000"/>
                <w:sz w:val="22"/>
                <w:szCs w:val="22"/>
              </w:rPr>
            </w:pPr>
            <w:r w:rsidRPr="009536F1">
              <w:rPr>
                <w:rFonts w:ascii="Calibri" w:hAnsi="Calibri"/>
                <w:color w:val="000000"/>
                <w:sz w:val="22"/>
                <w:szCs w:val="22"/>
              </w:rPr>
              <w:t>$12</w:t>
            </w:r>
          </w:p>
        </w:tc>
      </w:tr>
      <w:tr w:rsidR="002B26C9" w:rsidRPr="009536F1" w:rsidTr="002B26C9">
        <w:trPr>
          <w:trHeight w:val="288"/>
        </w:trPr>
        <w:tc>
          <w:tcPr>
            <w:tcW w:w="1160" w:type="dxa"/>
            <w:tcBorders>
              <w:top w:val="nil"/>
              <w:left w:val="nil"/>
              <w:bottom w:val="nil"/>
              <w:right w:val="nil"/>
            </w:tcBorders>
            <w:shd w:val="clear" w:color="auto" w:fill="auto"/>
            <w:noWrap/>
            <w:vAlign w:val="bottom"/>
            <w:hideMark/>
          </w:tcPr>
          <w:p w:rsidR="002B26C9" w:rsidRPr="002B26C9" w:rsidRDefault="002B26C9" w:rsidP="002B26C9">
            <w:pPr>
              <w:jc w:val="center"/>
              <w:rPr>
                <w:rFonts w:ascii="Calibri" w:hAnsi="Calibri"/>
                <w:color w:val="000000"/>
                <w:sz w:val="22"/>
                <w:szCs w:val="22"/>
              </w:rPr>
            </w:pPr>
            <w:r w:rsidRPr="002B26C9">
              <w:rPr>
                <w:rFonts w:ascii="Calibri" w:hAnsi="Calibri"/>
                <w:color w:val="000000"/>
                <w:sz w:val="22"/>
                <w:szCs w:val="22"/>
              </w:rPr>
              <w:t>2015 YTD</w:t>
            </w:r>
          </w:p>
        </w:tc>
        <w:tc>
          <w:tcPr>
            <w:tcW w:w="1388" w:type="dxa"/>
            <w:tcBorders>
              <w:top w:val="nil"/>
              <w:left w:val="nil"/>
              <w:bottom w:val="single" w:sz="4" w:space="0" w:color="auto"/>
              <w:right w:val="nil"/>
            </w:tcBorders>
            <w:shd w:val="clear" w:color="auto" w:fill="auto"/>
            <w:noWrap/>
            <w:vAlign w:val="bottom"/>
            <w:hideMark/>
          </w:tcPr>
          <w:p w:rsidR="002B26C9" w:rsidRPr="009536F1" w:rsidRDefault="002B26C9" w:rsidP="002B26C9">
            <w:pPr>
              <w:jc w:val="right"/>
              <w:rPr>
                <w:rFonts w:ascii="Calibri" w:hAnsi="Calibri"/>
                <w:color w:val="000000"/>
                <w:sz w:val="22"/>
                <w:szCs w:val="22"/>
              </w:rPr>
            </w:pPr>
            <w:r w:rsidRPr="009536F1">
              <w:rPr>
                <w:rFonts w:ascii="Calibri" w:hAnsi="Calibri"/>
                <w:color w:val="000000"/>
                <w:sz w:val="22"/>
                <w:szCs w:val="22"/>
              </w:rPr>
              <w:t>$17</w:t>
            </w:r>
          </w:p>
        </w:tc>
      </w:tr>
      <w:tr w:rsidR="002B26C9" w:rsidRPr="009536F1" w:rsidTr="002B26C9">
        <w:trPr>
          <w:trHeight w:val="288"/>
        </w:trPr>
        <w:tc>
          <w:tcPr>
            <w:tcW w:w="1160" w:type="dxa"/>
            <w:tcBorders>
              <w:top w:val="nil"/>
              <w:left w:val="nil"/>
              <w:bottom w:val="nil"/>
              <w:right w:val="nil"/>
            </w:tcBorders>
            <w:shd w:val="clear" w:color="auto" w:fill="auto"/>
            <w:noWrap/>
            <w:vAlign w:val="bottom"/>
            <w:hideMark/>
          </w:tcPr>
          <w:p w:rsidR="002B26C9" w:rsidRPr="002B26C9" w:rsidRDefault="002B26C9" w:rsidP="002B26C9">
            <w:pPr>
              <w:jc w:val="center"/>
              <w:rPr>
                <w:rFonts w:ascii="Calibri" w:hAnsi="Calibri"/>
                <w:color w:val="000000"/>
                <w:sz w:val="22"/>
                <w:szCs w:val="22"/>
              </w:rPr>
            </w:pPr>
            <w:r w:rsidRPr="002B26C9">
              <w:rPr>
                <w:rFonts w:ascii="Calibri" w:hAnsi="Calibri"/>
                <w:color w:val="000000"/>
                <w:sz w:val="22"/>
                <w:szCs w:val="22"/>
              </w:rPr>
              <w:t>Total</w:t>
            </w:r>
          </w:p>
        </w:tc>
        <w:tc>
          <w:tcPr>
            <w:tcW w:w="1388" w:type="dxa"/>
            <w:tcBorders>
              <w:top w:val="nil"/>
              <w:left w:val="nil"/>
              <w:bottom w:val="nil"/>
              <w:right w:val="nil"/>
            </w:tcBorders>
            <w:shd w:val="clear" w:color="auto" w:fill="auto"/>
            <w:noWrap/>
            <w:vAlign w:val="bottom"/>
            <w:hideMark/>
          </w:tcPr>
          <w:p w:rsidR="002B26C9" w:rsidRPr="009536F1" w:rsidRDefault="002B26C9" w:rsidP="002B26C9">
            <w:pPr>
              <w:jc w:val="right"/>
              <w:rPr>
                <w:rFonts w:ascii="Calibri" w:hAnsi="Calibri"/>
                <w:color w:val="000000"/>
                <w:sz w:val="22"/>
                <w:szCs w:val="22"/>
              </w:rPr>
            </w:pPr>
            <w:r w:rsidRPr="009536F1">
              <w:rPr>
                <w:rFonts w:ascii="Calibri" w:hAnsi="Calibri"/>
                <w:color w:val="000000"/>
                <w:sz w:val="22"/>
                <w:szCs w:val="22"/>
              </w:rPr>
              <w:t>$607</w:t>
            </w:r>
          </w:p>
        </w:tc>
      </w:tr>
    </w:tbl>
    <w:p w:rsidR="002B26C9" w:rsidRDefault="002B26C9" w:rsidP="00D42658">
      <w:pPr>
        <w:spacing w:line="480" w:lineRule="auto"/>
        <w:ind w:left="720" w:hanging="720"/>
        <w:rPr>
          <w:bCs/>
        </w:rPr>
      </w:pPr>
    </w:p>
    <w:p w:rsidR="002B26C9" w:rsidRDefault="002B26C9" w:rsidP="00D42658">
      <w:pPr>
        <w:spacing w:line="480" w:lineRule="auto"/>
        <w:ind w:left="720" w:hanging="720"/>
        <w:rPr>
          <w:bCs/>
        </w:rPr>
      </w:pPr>
    </w:p>
    <w:p w:rsidR="002B26C9" w:rsidRDefault="00C64667" w:rsidP="00D42658">
      <w:pPr>
        <w:spacing w:line="480" w:lineRule="auto"/>
        <w:ind w:left="720" w:hanging="720"/>
        <w:rPr>
          <w:bCs/>
        </w:rPr>
      </w:pPr>
      <w:r>
        <w:rPr>
          <w:bCs/>
        </w:rPr>
        <w:tab/>
        <w:t>The smaller values for 2013, 2014 and 2015 YTD reflect the current provisions of hedging program approved by the Commission in early 2013.</w:t>
      </w:r>
    </w:p>
    <w:p w:rsidR="002B26C9" w:rsidRDefault="002B26C9" w:rsidP="00D42658">
      <w:pPr>
        <w:spacing w:line="480" w:lineRule="auto"/>
        <w:ind w:left="720" w:hanging="720"/>
        <w:rPr>
          <w:bCs/>
        </w:rPr>
      </w:pPr>
    </w:p>
    <w:p w:rsidR="000B1743" w:rsidRDefault="00D42658">
      <w:pPr>
        <w:spacing w:line="480" w:lineRule="auto"/>
        <w:ind w:left="720"/>
        <w:rPr>
          <w:bCs/>
        </w:rPr>
      </w:pPr>
      <w:r>
        <w:rPr>
          <w:bCs/>
        </w:rPr>
        <w:t xml:space="preserve">In addition to payments on </w:t>
      </w:r>
      <w:r w:rsidR="009B27E3">
        <w:rPr>
          <w:bCs/>
        </w:rPr>
        <w:t>financial</w:t>
      </w:r>
      <w:r>
        <w:rPr>
          <w:bCs/>
        </w:rPr>
        <w:t xml:space="preserve"> instruments</w:t>
      </w:r>
      <w:r w:rsidR="00E24DC3">
        <w:rPr>
          <w:bCs/>
        </w:rPr>
        <w:t>, there</w:t>
      </w:r>
      <w:r>
        <w:rPr>
          <w:bCs/>
        </w:rPr>
        <w:t xml:space="preserve"> is overhead cost for Southern Company personnel to run the hedging program</w:t>
      </w:r>
      <w:r w:rsidR="002B26C9">
        <w:rPr>
          <w:bCs/>
        </w:rPr>
        <w:t xml:space="preserve"> that is recovered from ratepayers through FCR rates. This administrative cost has fluctuated between $</w:t>
      </w:r>
      <w:r w:rsidR="00D11584" w:rsidRPr="00D11584">
        <w:rPr>
          <w:bCs/>
        </w:rPr>
        <w:t>250,000</w:t>
      </w:r>
      <w:r w:rsidR="002B26C9" w:rsidRPr="00AD06CA">
        <w:rPr>
          <w:bCs/>
        </w:rPr>
        <w:t xml:space="preserve"> to $</w:t>
      </w:r>
      <w:r w:rsidR="00D11584" w:rsidRPr="00D11584">
        <w:rPr>
          <w:bCs/>
        </w:rPr>
        <w:t>300,000</w:t>
      </w:r>
      <w:r w:rsidR="002B26C9">
        <w:rPr>
          <w:bCs/>
        </w:rPr>
        <w:t xml:space="preserve"> each year</w:t>
      </w:r>
      <w:r w:rsidR="009B27E3">
        <w:rPr>
          <w:bCs/>
        </w:rPr>
        <w:t>.</w:t>
      </w:r>
    </w:p>
    <w:p w:rsidR="00626799" w:rsidRDefault="00626799" w:rsidP="00D7448A">
      <w:pPr>
        <w:spacing w:line="480" w:lineRule="auto"/>
        <w:ind w:left="720" w:hanging="720"/>
        <w:rPr>
          <w:bCs/>
        </w:rPr>
      </w:pPr>
    </w:p>
    <w:p w:rsidR="00D7448A" w:rsidRDefault="00E24DC3" w:rsidP="009B27E3">
      <w:pPr>
        <w:spacing w:line="480" w:lineRule="auto"/>
        <w:ind w:left="720"/>
        <w:rPr>
          <w:bCs/>
        </w:rPr>
      </w:pPr>
      <w:r>
        <w:rPr>
          <w:bCs/>
        </w:rPr>
        <w:t>Staff understands that a well conceived and operated hedging program may benefit ratepayers by reducing the uncertainty of prospective natural gas costs. However</w:t>
      </w:r>
      <w:r w:rsidR="009B27E3">
        <w:rPr>
          <w:bCs/>
        </w:rPr>
        <w:t>,</w:t>
      </w:r>
      <w:r w:rsidR="00626799">
        <w:rPr>
          <w:bCs/>
        </w:rPr>
        <w:t xml:space="preserve"> </w:t>
      </w:r>
      <w:r w:rsidR="009B27E3">
        <w:rPr>
          <w:bCs/>
        </w:rPr>
        <w:t xml:space="preserve">there is a tangible cost to hedging that significantly impacts </w:t>
      </w:r>
      <w:r>
        <w:rPr>
          <w:bCs/>
        </w:rPr>
        <w:t xml:space="preserve">the </w:t>
      </w:r>
      <w:r w:rsidR="009B27E3">
        <w:rPr>
          <w:bCs/>
        </w:rPr>
        <w:t>FCR revenue requirement and FCR rates paid by ratepayers</w:t>
      </w:r>
      <w:r w:rsidR="00626799">
        <w:rPr>
          <w:bCs/>
        </w:rPr>
        <w:t>.</w:t>
      </w:r>
      <w:r w:rsidR="009B27E3">
        <w:rPr>
          <w:bCs/>
        </w:rPr>
        <w:t xml:space="preserve"> This cost should be taken into account when evaluating the </w:t>
      </w:r>
      <w:r w:rsidR="009B27E3">
        <w:rPr>
          <w:bCs/>
        </w:rPr>
        <w:lastRenderedPageBreak/>
        <w:t xml:space="preserve">benefit </w:t>
      </w:r>
      <w:r>
        <w:rPr>
          <w:bCs/>
        </w:rPr>
        <w:t xml:space="preserve">that a </w:t>
      </w:r>
      <w:r w:rsidR="009B27E3">
        <w:rPr>
          <w:bCs/>
        </w:rPr>
        <w:t>hedging program</w:t>
      </w:r>
      <w:r>
        <w:rPr>
          <w:bCs/>
        </w:rPr>
        <w:t xml:space="preserve"> offers</w:t>
      </w:r>
      <w:r w:rsidR="009B27E3">
        <w:rPr>
          <w:bCs/>
        </w:rPr>
        <w:t xml:space="preserve"> </w:t>
      </w:r>
      <w:r>
        <w:rPr>
          <w:bCs/>
        </w:rPr>
        <w:t xml:space="preserve">by </w:t>
      </w:r>
      <w:r w:rsidR="009B27E3">
        <w:rPr>
          <w:bCs/>
        </w:rPr>
        <w:t>reducing the uncertainty of prospective natural gas prices</w:t>
      </w:r>
      <w:r>
        <w:rPr>
          <w:bCs/>
        </w:rPr>
        <w:t>, and considering whether the current program should be modified as requested by the Company</w:t>
      </w:r>
      <w:r w:rsidR="00E8148F">
        <w:rPr>
          <w:bCs/>
        </w:rPr>
        <w:t>.</w:t>
      </w:r>
    </w:p>
    <w:p w:rsidR="00865B23" w:rsidRDefault="00865B23" w:rsidP="009B27E3">
      <w:pPr>
        <w:spacing w:line="480" w:lineRule="auto"/>
        <w:ind w:left="720"/>
        <w:rPr>
          <w:bCs/>
        </w:rPr>
      </w:pPr>
    </w:p>
    <w:p w:rsidR="00865B23" w:rsidRDefault="00865B23" w:rsidP="00865B23">
      <w:pPr>
        <w:spacing w:line="480" w:lineRule="auto"/>
        <w:ind w:left="720" w:hanging="720"/>
        <w:rPr>
          <w:b/>
          <w:bCs/>
        </w:rPr>
      </w:pPr>
      <w:r>
        <w:rPr>
          <w:b/>
          <w:bCs/>
        </w:rPr>
        <w:t>Q.</w:t>
      </w:r>
      <w:r>
        <w:rPr>
          <w:b/>
          <w:bCs/>
        </w:rPr>
        <w:tab/>
        <w:t xml:space="preserve">PLEASE EXPLAIN HOW THE FUEL BALANCE </w:t>
      </w:r>
      <w:r w:rsidR="007F24BC">
        <w:rPr>
          <w:b/>
          <w:bCs/>
        </w:rPr>
        <w:t xml:space="preserve">ALSO </w:t>
      </w:r>
      <w:r>
        <w:rPr>
          <w:b/>
          <w:bCs/>
        </w:rPr>
        <w:t>INSULATES RATEPAYERS FROM VOLATILITY OF NATURAL GAS PRICES</w:t>
      </w:r>
      <w:r w:rsidR="00E639C1">
        <w:rPr>
          <w:b/>
          <w:bCs/>
        </w:rPr>
        <w:t>.</w:t>
      </w:r>
    </w:p>
    <w:p w:rsidR="00865B23" w:rsidRDefault="00865B23" w:rsidP="00167FE8">
      <w:pPr>
        <w:spacing w:line="480" w:lineRule="auto"/>
        <w:ind w:left="720" w:hanging="720"/>
        <w:rPr>
          <w:bCs/>
        </w:rPr>
      </w:pPr>
      <w:r>
        <w:rPr>
          <w:b/>
          <w:bCs/>
        </w:rPr>
        <w:t>A.</w:t>
      </w:r>
      <w:r>
        <w:rPr>
          <w:b/>
          <w:bCs/>
        </w:rPr>
        <w:tab/>
      </w:r>
      <w:r w:rsidR="00E639C1">
        <w:rPr>
          <w:bCs/>
        </w:rPr>
        <w:t>When natural gas prices deviate in either direct</w:t>
      </w:r>
      <w:r w:rsidR="007F24BC">
        <w:rPr>
          <w:bCs/>
        </w:rPr>
        <w:t>ion</w:t>
      </w:r>
      <w:r w:rsidR="00E639C1">
        <w:rPr>
          <w:bCs/>
        </w:rPr>
        <w:t xml:space="preserve"> from what was assumed in setting FCR rates</w:t>
      </w:r>
      <w:r w:rsidR="007F24BC">
        <w:rPr>
          <w:bCs/>
        </w:rPr>
        <w:t>,</w:t>
      </w:r>
      <w:r w:rsidR="00E639C1">
        <w:rPr>
          <w:bCs/>
        </w:rPr>
        <w:t xml:space="preserve"> the resulting </w:t>
      </w:r>
      <w:r w:rsidR="00167FE8">
        <w:rPr>
          <w:bCs/>
        </w:rPr>
        <w:t xml:space="preserve">FCR revenue </w:t>
      </w:r>
      <w:r w:rsidR="00E639C1">
        <w:rPr>
          <w:bCs/>
        </w:rPr>
        <w:t xml:space="preserve">under collection or over collection </w:t>
      </w:r>
      <w:r w:rsidR="00B32913">
        <w:rPr>
          <w:bCs/>
        </w:rPr>
        <w:t>is absorbed</w:t>
      </w:r>
      <w:r w:rsidR="00E639C1">
        <w:rPr>
          <w:bCs/>
        </w:rPr>
        <w:t xml:space="preserve"> in </w:t>
      </w:r>
      <w:r w:rsidR="00E8148F">
        <w:rPr>
          <w:bCs/>
        </w:rPr>
        <w:t xml:space="preserve">the </w:t>
      </w:r>
      <w:r w:rsidR="00E639C1">
        <w:rPr>
          <w:bCs/>
        </w:rPr>
        <w:t xml:space="preserve">fuel </w:t>
      </w:r>
      <w:r w:rsidR="00167FE8">
        <w:rPr>
          <w:bCs/>
        </w:rPr>
        <w:t>balance</w:t>
      </w:r>
      <w:r w:rsidR="00E639C1">
        <w:rPr>
          <w:bCs/>
        </w:rPr>
        <w:t xml:space="preserve"> to be recovered in the future</w:t>
      </w:r>
      <w:r w:rsidR="00167FE8">
        <w:rPr>
          <w:bCs/>
        </w:rPr>
        <w:t xml:space="preserve"> time period</w:t>
      </w:r>
      <w:r w:rsidR="00E639C1">
        <w:rPr>
          <w:bCs/>
        </w:rPr>
        <w:t>.</w:t>
      </w:r>
      <w:r w:rsidR="00167FE8">
        <w:rPr>
          <w:bCs/>
        </w:rPr>
        <w:t xml:space="preserve"> For example</w:t>
      </w:r>
      <w:r w:rsidR="007F24BC">
        <w:rPr>
          <w:bCs/>
        </w:rPr>
        <w:t>,</w:t>
      </w:r>
      <w:r w:rsidR="00167FE8">
        <w:rPr>
          <w:bCs/>
        </w:rPr>
        <w:t xml:space="preserve"> when the Polar Vortex occurred in January 2014 and natural gas prices increased significantly</w:t>
      </w:r>
      <w:r w:rsidR="007F24BC">
        <w:rPr>
          <w:bCs/>
        </w:rPr>
        <w:t>,</w:t>
      </w:r>
      <w:r w:rsidR="00167FE8">
        <w:rPr>
          <w:bCs/>
        </w:rPr>
        <w:t xml:space="preserve"> </w:t>
      </w:r>
      <w:r w:rsidR="00BE5A67">
        <w:rPr>
          <w:bCs/>
        </w:rPr>
        <w:t xml:space="preserve">FCR </w:t>
      </w:r>
      <w:r w:rsidR="00167FE8">
        <w:rPr>
          <w:bCs/>
        </w:rPr>
        <w:t xml:space="preserve">rates did not change immediately. The under collection of FCR revenue was </w:t>
      </w:r>
      <w:r w:rsidR="00B32913">
        <w:rPr>
          <w:bCs/>
        </w:rPr>
        <w:t>absorbed</w:t>
      </w:r>
      <w:r w:rsidR="00167FE8">
        <w:rPr>
          <w:bCs/>
        </w:rPr>
        <w:t xml:space="preserve"> in </w:t>
      </w:r>
      <w:r w:rsidR="00B32913">
        <w:rPr>
          <w:bCs/>
        </w:rPr>
        <w:t xml:space="preserve">the </w:t>
      </w:r>
      <w:r w:rsidR="00167FE8">
        <w:rPr>
          <w:bCs/>
        </w:rPr>
        <w:t xml:space="preserve">fuel balance and recovered during </w:t>
      </w:r>
      <w:r w:rsidR="007F24BC">
        <w:rPr>
          <w:bCs/>
        </w:rPr>
        <w:t xml:space="preserve">the </w:t>
      </w:r>
      <w:r w:rsidR="00167FE8">
        <w:rPr>
          <w:bCs/>
        </w:rPr>
        <w:t>remainder of 2014 and in 2015. Ratepayers were completely insulated from this volatility in natural gas prices.</w:t>
      </w:r>
    </w:p>
    <w:p w:rsidR="00167FE8" w:rsidRDefault="00167FE8" w:rsidP="00167FE8">
      <w:pPr>
        <w:spacing w:line="480" w:lineRule="auto"/>
        <w:ind w:left="720" w:hanging="720"/>
        <w:rPr>
          <w:bCs/>
        </w:rPr>
      </w:pPr>
    </w:p>
    <w:p w:rsidR="00167FE8" w:rsidRDefault="00167FE8" w:rsidP="00167FE8">
      <w:pPr>
        <w:spacing w:line="480" w:lineRule="auto"/>
        <w:ind w:left="720" w:hanging="720"/>
        <w:rPr>
          <w:b/>
          <w:bCs/>
        </w:rPr>
      </w:pPr>
      <w:r>
        <w:rPr>
          <w:b/>
          <w:bCs/>
        </w:rPr>
        <w:t>Q.</w:t>
      </w:r>
      <w:r>
        <w:rPr>
          <w:b/>
          <w:bCs/>
        </w:rPr>
        <w:tab/>
      </w:r>
      <w:r w:rsidR="007F24BC">
        <w:rPr>
          <w:b/>
          <w:bCs/>
        </w:rPr>
        <w:t>HOW IS</w:t>
      </w:r>
      <w:r>
        <w:rPr>
          <w:b/>
          <w:bCs/>
        </w:rPr>
        <w:t xml:space="preserve"> THE COST OF </w:t>
      </w:r>
      <w:r w:rsidR="00E8148F">
        <w:rPr>
          <w:b/>
          <w:bCs/>
        </w:rPr>
        <w:t xml:space="preserve">MAINTAINING </w:t>
      </w:r>
      <w:r>
        <w:rPr>
          <w:b/>
          <w:bCs/>
        </w:rPr>
        <w:t xml:space="preserve">THE FUEL BALANCE TO RATEPAYERS </w:t>
      </w:r>
      <w:r w:rsidR="007F24BC">
        <w:rPr>
          <w:b/>
          <w:bCs/>
        </w:rPr>
        <w:t>DETERMINED</w:t>
      </w:r>
      <w:r>
        <w:rPr>
          <w:b/>
          <w:bCs/>
        </w:rPr>
        <w:t>?</w:t>
      </w:r>
    </w:p>
    <w:p w:rsidR="00167FE8" w:rsidRDefault="00167FE8" w:rsidP="00167FE8">
      <w:pPr>
        <w:spacing w:line="480" w:lineRule="auto"/>
        <w:ind w:left="720" w:hanging="720"/>
        <w:rPr>
          <w:bCs/>
        </w:rPr>
      </w:pPr>
      <w:r>
        <w:rPr>
          <w:b/>
          <w:bCs/>
        </w:rPr>
        <w:t>A.</w:t>
      </w:r>
      <w:r>
        <w:rPr>
          <w:b/>
          <w:bCs/>
        </w:rPr>
        <w:tab/>
      </w:r>
      <w:r w:rsidR="00101704" w:rsidRPr="00101704">
        <w:rPr>
          <w:bCs/>
        </w:rPr>
        <w:t xml:space="preserve">The </w:t>
      </w:r>
      <w:r w:rsidR="00101704">
        <w:rPr>
          <w:bCs/>
        </w:rPr>
        <w:t xml:space="preserve">cost of the </w:t>
      </w:r>
      <w:r w:rsidR="00E8148F">
        <w:rPr>
          <w:bCs/>
        </w:rPr>
        <w:t xml:space="preserve">maintaining </w:t>
      </w:r>
      <w:r w:rsidR="00101704">
        <w:rPr>
          <w:bCs/>
        </w:rPr>
        <w:t xml:space="preserve">fuel balance is the interest expense </w:t>
      </w:r>
      <w:r w:rsidR="00950DC0">
        <w:rPr>
          <w:bCs/>
        </w:rPr>
        <w:t xml:space="preserve">or carrying cost </w:t>
      </w:r>
      <w:r w:rsidR="00B82E8A">
        <w:rPr>
          <w:bCs/>
        </w:rPr>
        <w:t>on</w:t>
      </w:r>
      <w:r w:rsidR="00101704">
        <w:rPr>
          <w:bCs/>
        </w:rPr>
        <w:t xml:space="preserve"> the balance</w:t>
      </w:r>
      <w:r w:rsidR="00B82E8A">
        <w:rPr>
          <w:bCs/>
        </w:rPr>
        <w:t xml:space="preserve"> for a given time period</w:t>
      </w:r>
      <w:r w:rsidR="00101704">
        <w:rPr>
          <w:bCs/>
        </w:rPr>
        <w:t xml:space="preserve">. </w:t>
      </w:r>
      <w:r w:rsidR="00E8148F">
        <w:rPr>
          <w:bCs/>
        </w:rPr>
        <w:t>As directed by the Commission in prior FCR cases, t</w:t>
      </w:r>
      <w:r w:rsidR="00101704">
        <w:rPr>
          <w:bCs/>
        </w:rPr>
        <w:t xml:space="preserve">he Company’s short term debt rate is </w:t>
      </w:r>
      <w:r w:rsidR="00B82E8A">
        <w:rPr>
          <w:bCs/>
        </w:rPr>
        <w:t>the interest rate used to calculate interest expense on the fuel balance</w:t>
      </w:r>
      <w:r w:rsidR="00B82E8A" w:rsidRPr="00B82E8A">
        <w:rPr>
          <w:bCs/>
        </w:rPr>
        <w:t xml:space="preserve">. </w:t>
      </w:r>
      <w:r w:rsidRPr="00B82E8A">
        <w:rPr>
          <w:bCs/>
        </w:rPr>
        <w:t>As shown</w:t>
      </w:r>
      <w:r>
        <w:rPr>
          <w:bCs/>
        </w:rPr>
        <w:t xml:space="preserve"> in the table below</w:t>
      </w:r>
      <w:r w:rsidR="007F24BC">
        <w:rPr>
          <w:bCs/>
        </w:rPr>
        <w:t>,</w:t>
      </w:r>
      <w:r>
        <w:rPr>
          <w:bCs/>
        </w:rPr>
        <w:t xml:space="preserve"> the </w:t>
      </w:r>
      <w:r w:rsidR="00B82E8A">
        <w:rPr>
          <w:bCs/>
        </w:rPr>
        <w:t>interest expense on the fuel balance</w:t>
      </w:r>
      <w:r>
        <w:rPr>
          <w:bCs/>
        </w:rPr>
        <w:t xml:space="preserve"> has been a small fraction of the cost of the hedging program.</w:t>
      </w:r>
      <w:r w:rsidR="00CE1D95">
        <w:rPr>
          <w:bCs/>
        </w:rPr>
        <w:t xml:space="preserve"> As with the previous table positive value</w:t>
      </w:r>
      <w:r w:rsidR="008B0483">
        <w:rPr>
          <w:bCs/>
        </w:rPr>
        <w:t>s</w:t>
      </w:r>
      <w:r w:rsidR="00CE1D95">
        <w:rPr>
          <w:bCs/>
        </w:rPr>
        <w:t xml:space="preserve"> represent </w:t>
      </w:r>
      <w:r w:rsidR="00E8148F">
        <w:rPr>
          <w:bCs/>
        </w:rPr>
        <w:t xml:space="preserve">an </w:t>
      </w:r>
      <w:r w:rsidR="00CE1D95">
        <w:rPr>
          <w:bCs/>
        </w:rPr>
        <w:t xml:space="preserve">increase in FCR revenue requirement and negative values </w:t>
      </w:r>
      <w:r w:rsidR="00CE1D95">
        <w:rPr>
          <w:bCs/>
        </w:rPr>
        <w:lastRenderedPageBreak/>
        <w:t xml:space="preserve">represent </w:t>
      </w:r>
      <w:r w:rsidR="00E8148F">
        <w:rPr>
          <w:bCs/>
        </w:rPr>
        <w:t xml:space="preserve">a </w:t>
      </w:r>
      <w:r w:rsidR="00CE1D95">
        <w:rPr>
          <w:bCs/>
        </w:rPr>
        <w:t>decrease in FCR revenue requirement. The value for 2015 represent the first eight months of 2015.</w:t>
      </w:r>
    </w:p>
    <w:p w:rsidR="00CE1D95" w:rsidRDefault="00CE1D95" w:rsidP="00167FE8">
      <w:pPr>
        <w:spacing w:line="480" w:lineRule="auto"/>
        <w:ind w:left="720" w:hanging="720"/>
        <w:rPr>
          <w:bCs/>
        </w:rPr>
      </w:pPr>
      <w:r>
        <w:rPr>
          <w:bCs/>
        </w:rPr>
        <w:tab/>
      </w:r>
    </w:p>
    <w:tbl>
      <w:tblPr>
        <w:tblW w:w="2320" w:type="dxa"/>
        <w:tblInd w:w="2705" w:type="dxa"/>
        <w:tblLook w:val="04A0" w:firstRow="1" w:lastRow="0" w:firstColumn="1" w:lastColumn="0" w:noHBand="0" w:noVBand="1"/>
      </w:tblPr>
      <w:tblGrid>
        <w:gridCol w:w="1160"/>
        <w:gridCol w:w="1160"/>
      </w:tblGrid>
      <w:tr w:rsidR="00CE1D95" w:rsidRPr="00CE1D95" w:rsidTr="00CE1D95">
        <w:trPr>
          <w:trHeight w:val="288"/>
        </w:trPr>
        <w:tc>
          <w:tcPr>
            <w:tcW w:w="1160" w:type="dxa"/>
            <w:tcBorders>
              <w:top w:val="nil"/>
              <w:left w:val="nil"/>
              <w:bottom w:val="nil"/>
              <w:right w:val="nil"/>
            </w:tcBorders>
            <w:shd w:val="clear" w:color="auto" w:fill="auto"/>
            <w:noWrap/>
            <w:vAlign w:val="bottom"/>
            <w:hideMark/>
          </w:tcPr>
          <w:p w:rsidR="00CE1D95" w:rsidRPr="00CE1D95" w:rsidRDefault="00CE1D95" w:rsidP="00CE1D95">
            <w:pPr>
              <w:rPr>
                <w:rFonts w:ascii="Calibri" w:hAnsi="Calibri"/>
                <w:color w:val="000000"/>
                <w:sz w:val="22"/>
                <w:szCs w:val="22"/>
              </w:rPr>
            </w:pPr>
          </w:p>
        </w:tc>
        <w:tc>
          <w:tcPr>
            <w:tcW w:w="1160" w:type="dxa"/>
            <w:tcBorders>
              <w:top w:val="nil"/>
              <w:left w:val="nil"/>
              <w:bottom w:val="nil"/>
              <w:right w:val="nil"/>
            </w:tcBorders>
            <w:shd w:val="clear" w:color="auto" w:fill="auto"/>
            <w:noWrap/>
            <w:vAlign w:val="bottom"/>
            <w:hideMark/>
          </w:tcPr>
          <w:p w:rsidR="00CE1D95" w:rsidRPr="00CE1D95" w:rsidRDefault="00CE1D95" w:rsidP="00CE1D95">
            <w:pPr>
              <w:jc w:val="center"/>
              <w:rPr>
                <w:rFonts w:ascii="Calibri" w:hAnsi="Calibri"/>
                <w:color w:val="000000"/>
                <w:sz w:val="22"/>
                <w:szCs w:val="22"/>
              </w:rPr>
            </w:pPr>
            <w:r w:rsidRPr="00CE1D95">
              <w:rPr>
                <w:rFonts w:ascii="Calibri" w:hAnsi="Calibri"/>
                <w:color w:val="000000"/>
                <w:sz w:val="22"/>
                <w:szCs w:val="22"/>
              </w:rPr>
              <w:t>Interest</w:t>
            </w:r>
          </w:p>
        </w:tc>
      </w:tr>
      <w:tr w:rsidR="00CE1D95" w:rsidRPr="00CE1D95" w:rsidTr="00CE1D95">
        <w:trPr>
          <w:trHeight w:val="288"/>
        </w:trPr>
        <w:tc>
          <w:tcPr>
            <w:tcW w:w="1160" w:type="dxa"/>
            <w:tcBorders>
              <w:top w:val="nil"/>
              <w:left w:val="nil"/>
              <w:bottom w:val="nil"/>
              <w:right w:val="nil"/>
            </w:tcBorders>
            <w:shd w:val="clear" w:color="auto" w:fill="auto"/>
            <w:noWrap/>
            <w:vAlign w:val="bottom"/>
            <w:hideMark/>
          </w:tcPr>
          <w:p w:rsidR="00CE1D95" w:rsidRPr="00CE1D95" w:rsidRDefault="00CE1D95" w:rsidP="00CE1D95">
            <w:pPr>
              <w:rPr>
                <w:rFonts w:ascii="Calibri" w:hAnsi="Calibri"/>
                <w:color w:val="000000"/>
                <w:sz w:val="22"/>
                <w:szCs w:val="22"/>
              </w:rPr>
            </w:pPr>
          </w:p>
        </w:tc>
        <w:tc>
          <w:tcPr>
            <w:tcW w:w="1160" w:type="dxa"/>
            <w:tcBorders>
              <w:top w:val="nil"/>
              <w:left w:val="nil"/>
              <w:bottom w:val="nil"/>
              <w:right w:val="nil"/>
            </w:tcBorders>
            <w:shd w:val="clear" w:color="auto" w:fill="auto"/>
            <w:noWrap/>
            <w:vAlign w:val="bottom"/>
            <w:hideMark/>
          </w:tcPr>
          <w:p w:rsidR="00CE1D95" w:rsidRPr="00CE1D95" w:rsidRDefault="00CE1D95" w:rsidP="00CE1D95">
            <w:pPr>
              <w:jc w:val="center"/>
              <w:rPr>
                <w:rFonts w:ascii="Calibri" w:hAnsi="Calibri"/>
                <w:color w:val="000000"/>
                <w:sz w:val="22"/>
                <w:szCs w:val="22"/>
              </w:rPr>
            </w:pPr>
            <w:r w:rsidRPr="00CE1D95">
              <w:rPr>
                <w:rFonts w:ascii="Calibri" w:hAnsi="Calibri"/>
                <w:color w:val="000000"/>
                <w:sz w:val="22"/>
                <w:szCs w:val="22"/>
              </w:rPr>
              <w:t>Expense</w:t>
            </w:r>
          </w:p>
        </w:tc>
      </w:tr>
      <w:tr w:rsidR="00CE1D95" w:rsidRPr="00CE1D95" w:rsidTr="00CE1D95">
        <w:trPr>
          <w:trHeight w:val="288"/>
        </w:trPr>
        <w:tc>
          <w:tcPr>
            <w:tcW w:w="1160" w:type="dxa"/>
            <w:tcBorders>
              <w:top w:val="nil"/>
              <w:left w:val="nil"/>
              <w:bottom w:val="nil"/>
              <w:right w:val="nil"/>
            </w:tcBorders>
            <w:shd w:val="clear" w:color="auto" w:fill="auto"/>
            <w:noWrap/>
            <w:vAlign w:val="bottom"/>
            <w:hideMark/>
          </w:tcPr>
          <w:p w:rsidR="00CE1D95" w:rsidRPr="00CE1D95" w:rsidRDefault="00CE1D95" w:rsidP="00CE1D95">
            <w:pPr>
              <w:rPr>
                <w:rFonts w:ascii="Calibri" w:hAnsi="Calibri"/>
                <w:color w:val="000000"/>
                <w:sz w:val="22"/>
                <w:szCs w:val="22"/>
              </w:rPr>
            </w:pPr>
          </w:p>
        </w:tc>
        <w:tc>
          <w:tcPr>
            <w:tcW w:w="1160" w:type="dxa"/>
            <w:tcBorders>
              <w:top w:val="nil"/>
              <w:left w:val="nil"/>
              <w:bottom w:val="nil"/>
              <w:right w:val="nil"/>
            </w:tcBorders>
            <w:shd w:val="clear" w:color="auto" w:fill="auto"/>
            <w:noWrap/>
            <w:vAlign w:val="bottom"/>
            <w:hideMark/>
          </w:tcPr>
          <w:p w:rsidR="00CE1D95" w:rsidRPr="00CE1D95" w:rsidRDefault="00CE1D95" w:rsidP="00CE1D95">
            <w:pPr>
              <w:jc w:val="center"/>
              <w:rPr>
                <w:rFonts w:ascii="Calibri" w:hAnsi="Calibri"/>
                <w:color w:val="000000"/>
                <w:sz w:val="22"/>
                <w:szCs w:val="22"/>
              </w:rPr>
            </w:pPr>
            <w:r w:rsidRPr="00CE1D95">
              <w:rPr>
                <w:rFonts w:ascii="Calibri" w:hAnsi="Calibri"/>
                <w:color w:val="000000"/>
                <w:sz w:val="22"/>
                <w:szCs w:val="22"/>
              </w:rPr>
              <w:t>on Fuel</w:t>
            </w:r>
          </w:p>
        </w:tc>
      </w:tr>
      <w:tr w:rsidR="00CE1D95" w:rsidRPr="00CE1D95" w:rsidTr="00CE1D95">
        <w:trPr>
          <w:trHeight w:val="288"/>
        </w:trPr>
        <w:tc>
          <w:tcPr>
            <w:tcW w:w="1160" w:type="dxa"/>
            <w:tcBorders>
              <w:top w:val="nil"/>
              <w:left w:val="nil"/>
              <w:bottom w:val="nil"/>
              <w:right w:val="nil"/>
            </w:tcBorders>
            <w:shd w:val="clear" w:color="auto" w:fill="auto"/>
            <w:noWrap/>
            <w:vAlign w:val="bottom"/>
            <w:hideMark/>
          </w:tcPr>
          <w:p w:rsidR="00CE1D95" w:rsidRPr="00CE1D95" w:rsidRDefault="00CE1D95" w:rsidP="00CE1D95">
            <w:pPr>
              <w:rPr>
                <w:rFonts w:ascii="Calibri" w:hAnsi="Calibri"/>
                <w:color w:val="000000"/>
                <w:sz w:val="22"/>
                <w:szCs w:val="22"/>
              </w:rPr>
            </w:pPr>
          </w:p>
        </w:tc>
        <w:tc>
          <w:tcPr>
            <w:tcW w:w="1160" w:type="dxa"/>
            <w:tcBorders>
              <w:top w:val="nil"/>
              <w:left w:val="nil"/>
              <w:bottom w:val="nil"/>
              <w:right w:val="nil"/>
            </w:tcBorders>
            <w:shd w:val="clear" w:color="auto" w:fill="auto"/>
            <w:noWrap/>
            <w:vAlign w:val="bottom"/>
            <w:hideMark/>
          </w:tcPr>
          <w:p w:rsidR="00CE1D95" w:rsidRPr="00CE1D95" w:rsidRDefault="00CE1D95" w:rsidP="00CE1D95">
            <w:pPr>
              <w:jc w:val="center"/>
              <w:rPr>
                <w:rFonts w:ascii="Calibri" w:hAnsi="Calibri"/>
                <w:color w:val="000000"/>
                <w:sz w:val="22"/>
                <w:szCs w:val="22"/>
              </w:rPr>
            </w:pPr>
            <w:r w:rsidRPr="00CE1D95">
              <w:rPr>
                <w:rFonts w:ascii="Calibri" w:hAnsi="Calibri"/>
                <w:color w:val="000000"/>
                <w:sz w:val="22"/>
                <w:szCs w:val="22"/>
              </w:rPr>
              <w:t>Balance</w:t>
            </w:r>
          </w:p>
        </w:tc>
      </w:tr>
      <w:tr w:rsidR="00CE1D95" w:rsidRPr="00CE1D95" w:rsidTr="00CE1D95">
        <w:trPr>
          <w:trHeight w:val="288"/>
        </w:trPr>
        <w:tc>
          <w:tcPr>
            <w:tcW w:w="1160" w:type="dxa"/>
            <w:tcBorders>
              <w:top w:val="nil"/>
              <w:left w:val="nil"/>
              <w:bottom w:val="single" w:sz="4" w:space="0" w:color="auto"/>
              <w:right w:val="nil"/>
            </w:tcBorders>
            <w:shd w:val="clear" w:color="auto" w:fill="auto"/>
            <w:noWrap/>
            <w:vAlign w:val="bottom"/>
            <w:hideMark/>
          </w:tcPr>
          <w:p w:rsidR="00CE1D95" w:rsidRPr="00CE1D95" w:rsidRDefault="00CE1D95" w:rsidP="00CE1D95">
            <w:pPr>
              <w:jc w:val="center"/>
              <w:rPr>
                <w:rFonts w:ascii="Calibri" w:hAnsi="Calibri"/>
                <w:color w:val="000000"/>
                <w:sz w:val="22"/>
                <w:szCs w:val="22"/>
              </w:rPr>
            </w:pPr>
            <w:r w:rsidRPr="00CE1D95">
              <w:rPr>
                <w:rFonts w:ascii="Calibri" w:hAnsi="Calibri"/>
                <w:color w:val="000000"/>
                <w:sz w:val="22"/>
                <w:szCs w:val="22"/>
              </w:rPr>
              <w:t>Year</w:t>
            </w:r>
          </w:p>
        </w:tc>
        <w:tc>
          <w:tcPr>
            <w:tcW w:w="1160" w:type="dxa"/>
            <w:tcBorders>
              <w:top w:val="nil"/>
              <w:left w:val="nil"/>
              <w:bottom w:val="single" w:sz="4" w:space="0" w:color="auto"/>
              <w:right w:val="nil"/>
            </w:tcBorders>
            <w:shd w:val="clear" w:color="auto" w:fill="auto"/>
            <w:noWrap/>
            <w:vAlign w:val="bottom"/>
            <w:hideMark/>
          </w:tcPr>
          <w:p w:rsidR="00CE1D95" w:rsidRPr="00CE1D95" w:rsidRDefault="00CE1D95" w:rsidP="00CE1D95">
            <w:pPr>
              <w:jc w:val="center"/>
              <w:rPr>
                <w:rFonts w:ascii="Calibri" w:hAnsi="Calibri"/>
                <w:color w:val="000000"/>
                <w:sz w:val="22"/>
                <w:szCs w:val="22"/>
              </w:rPr>
            </w:pPr>
            <w:r w:rsidRPr="00CE1D95">
              <w:rPr>
                <w:rFonts w:ascii="Calibri" w:hAnsi="Calibri"/>
                <w:color w:val="000000"/>
                <w:sz w:val="22"/>
                <w:szCs w:val="22"/>
              </w:rPr>
              <w:t>($ million)</w:t>
            </w:r>
          </w:p>
        </w:tc>
      </w:tr>
      <w:tr w:rsidR="00CE1D95" w:rsidRPr="00CE1D95" w:rsidTr="00CE1D95">
        <w:trPr>
          <w:trHeight w:val="288"/>
        </w:trPr>
        <w:tc>
          <w:tcPr>
            <w:tcW w:w="1160" w:type="dxa"/>
            <w:tcBorders>
              <w:top w:val="nil"/>
              <w:left w:val="nil"/>
              <w:bottom w:val="nil"/>
              <w:right w:val="nil"/>
            </w:tcBorders>
            <w:shd w:val="clear" w:color="auto" w:fill="auto"/>
            <w:noWrap/>
            <w:vAlign w:val="bottom"/>
            <w:hideMark/>
          </w:tcPr>
          <w:p w:rsidR="00CE1D95" w:rsidRPr="00CE1D95" w:rsidRDefault="00CE1D95" w:rsidP="00CE1D95">
            <w:pPr>
              <w:jc w:val="center"/>
              <w:rPr>
                <w:rFonts w:ascii="Calibri" w:hAnsi="Calibri"/>
                <w:color w:val="000000"/>
                <w:sz w:val="22"/>
                <w:szCs w:val="22"/>
              </w:rPr>
            </w:pPr>
            <w:r w:rsidRPr="00CE1D95">
              <w:rPr>
                <w:rFonts w:ascii="Calibri" w:hAnsi="Calibri"/>
                <w:color w:val="000000"/>
                <w:sz w:val="22"/>
                <w:szCs w:val="22"/>
              </w:rPr>
              <w:t>2005</w:t>
            </w:r>
          </w:p>
        </w:tc>
        <w:tc>
          <w:tcPr>
            <w:tcW w:w="1160" w:type="dxa"/>
            <w:tcBorders>
              <w:top w:val="nil"/>
              <w:left w:val="nil"/>
              <w:bottom w:val="nil"/>
              <w:right w:val="nil"/>
            </w:tcBorders>
            <w:shd w:val="clear" w:color="auto" w:fill="auto"/>
            <w:noWrap/>
            <w:vAlign w:val="bottom"/>
            <w:hideMark/>
          </w:tcPr>
          <w:p w:rsidR="00CE1D95" w:rsidRPr="00CE1D95" w:rsidRDefault="00CE1D95" w:rsidP="00CE1D95">
            <w:pPr>
              <w:jc w:val="right"/>
              <w:rPr>
                <w:rFonts w:ascii="Calibri" w:hAnsi="Calibri"/>
                <w:color w:val="000000"/>
                <w:sz w:val="22"/>
                <w:szCs w:val="22"/>
              </w:rPr>
            </w:pPr>
            <w:r w:rsidRPr="00CE1D95">
              <w:rPr>
                <w:rFonts w:ascii="Calibri" w:hAnsi="Calibri"/>
                <w:color w:val="000000"/>
                <w:sz w:val="22"/>
                <w:szCs w:val="22"/>
              </w:rPr>
              <w:t>$10.4</w:t>
            </w:r>
          </w:p>
        </w:tc>
      </w:tr>
      <w:tr w:rsidR="00CE1D95" w:rsidRPr="00CE1D95" w:rsidTr="00CE1D95">
        <w:trPr>
          <w:trHeight w:val="288"/>
        </w:trPr>
        <w:tc>
          <w:tcPr>
            <w:tcW w:w="1160" w:type="dxa"/>
            <w:tcBorders>
              <w:top w:val="nil"/>
              <w:left w:val="nil"/>
              <w:bottom w:val="nil"/>
              <w:right w:val="nil"/>
            </w:tcBorders>
            <w:shd w:val="clear" w:color="auto" w:fill="auto"/>
            <w:noWrap/>
            <w:vAlign w:val="bottom"/>
            <w:hideMark/>
          </w:tcPr>
          <w:p w:rsidR="00CE1D95" w:rsidRPr="00CE1D95" w:rsidRDefault="00CE1D95" w:rsidP="00CE1D95">
            <w:pPr>
              <w:jc w:val="center"/>
              <w:rPr>
                <w:rFonts w:ascii="Calibri" w:hAnsi="Calibri"/>
                <w:color w:val="000000"/>
                <w:sz w:val="22"/>
                <w:szCs w:val="22"/>
              </w:rPr>
            </w:pPr>
            <w:r w:rsidRPr="00CE1D95">
              <w:rPr>
                <w:rFonts w:ascii="Calibri" w:hAnsi="Calibri"/>
                <w:color w:val="000000"/>
                <w:sz w:val="22"/>
                <w:szCs w:val="22"/>
              </w:rPr>
              <w:t>2006</w:t>
            </w:r>
          </w:p>
        </w:tc>
        <w:tc>
          <w:tcPr>
            <w:tcW w:w="1160" w:type="dxa"/>
            <w:tcBorders>
              <w:top w:val="nil"/>
              <w:left w:val="nil"/>
              <w:bottom w:val="nil"/>
              <w:right w:val="nil"/>
            </w:tcBorders>
            <w:shd w:val="clear" w:color="auto" w:fill="auto"/>
            <w:noWrap/>
            <w:vAlign w:val="bottom"/>
            <w:hideMark/>
          </w:tcPr>
          <w:p w:rsidR="00CE1D95" w:rsidRPr="00CE1D95" w:rsidRDefault="00CE1D95" w:rsidP="00CE1D95">
            <w:pPr>
              <w:jc w:val="right"/>
              <w:rPr>
                <w:rFonts w:ascii="Calibri" w:hAnsi="Calibri"/>
                <w:color w:val="000000"/>
                <w:sz w:val="22"/>
                <w:szCs w:val="22"/>
              </w:rPr>
            </w:pPr>
            <w:r w:rsidRPr="00CE1D95">
              <w:rPr>
                <w:rFonts w:ascii="Calibri" w:hAnsi="Calibri"/>
                <w:color w:val="000000"/>
                <w:sz w:val="22"/>
                <w:szCs w:val="22"/>
              </w:rPr>
              <w:t>$27.3</w:t>
            </w:r>
          </w:p>
        </w:tc>
      </w:tr>
      <w:tr w:rsidR="00CE1D95" w:rsidRPr="00CE1D95" w:rsidTr="00CE1D95">
        <w:trPr>
          <w:trHeight w:val="288"/>
        </w:trPr>
        <w:tc>
          <w:tcPr>
            <w:tcW w:w="1160" w:type="dxa"/>
            <w:tcBorders>
              <w:top w:val="nil"/>
              <w:left w:val="nil"/>
              <w:bottom w:val="nil"/>
              <w:right w:val="nil"/>
            </w:tcBorders>
            <w:shd w:val="clear" w:color="auto" w:fill="auto"/>
            <w:noWrap/>
            <w:vAlign w:val="bottom"/>
            <w:hideMark/>
          </w:tcPr>
          <w:p w:rsidR="00CE1D95" w:rsidRPr="00CE1D95" w:rsidRDefault="00CE1D95" w:rsidP="00CE1D95">
            <w:pPr>
              <w:jc w:val="center"/>
              <w:rPr>
                <w:rFonts w:ascii="Calibri" w:hAnsi="Calibri"/>
                <w:color w:val="000000"/>
                <w:sz w:val="22"/>
                <w:szCs w:val="22"/>
              </w:rPr>
            </w:pPr>
            <w:r w:rsidRPr="00CE1D95">
              <w:rPr>
                <w:rFonts w:ascii="Calibri" w:hAnsi="Calibri"/>
                <w:color w:val="000000"/>
                <w:sz w:val="22"/>
                <w:szCs w:val="22"/>
              </w:rPr>
              <w:t>2007</w:t>
            </w:r>
          </w:p>
        </w:tc>
        <w:tc>
          <w:tcPr>
            <w:tcW w:w="1160" w:type="dxa"/>
            <w:tcBorders>
              <w:top w:val="nil"/>
              <w:left w:val="nil"/>
              <w:bottom w:val="nil"/>
              <w:right w:val="nil"/>
            </w:tcBorders>
            <w:shd w:val="clear" w:color="auto" w:fill="auto"/>
            <w:noWrap/>
            <w:vAlign w:val="bottom"/>
            <w:hideMark/>
          </w:tcPr>
          <w:p w:rsidR="00CE1D95" w:rsidRPr="00CE1D95" w:rsidRDefault="00CE1D95" w:rsidP="00CE1D95">
            <w:pPr>
              <w:jc w:val="right"/>
              <w:rPr>
                <w:rFonts w:ascii="Calibri" w:hAnsi="Calibri"/>
                <w:color w:val="000000"/>
                <w:sz w:val="22"/>
                <w:szCs w:val="22"/>
              </w:rPr>
            </w:pPr>
            <w:r w:rsidRPr="00CE1D95">
              <w:rPr>
                <w:rFonts w:ascii="Calibri" w:hAnsi="Calibri"/>
                <w:color w:val="000000"/>
                <w:sz w:val="22"/>
                <w:szCs w:val="22"/>
              </w:rPr>
              <w:t>$26.3</w:t>
            </w:r>
          </w:p>
        </w:tc>
      </w:tr>
      <w:tr w:rsidR="00CE1D95" w:rsidRPr="00CE1D95" w:rsidTr="00CE1D95">
        <w:trPr>
          <w:trHeight w:val="288"/>
        </w:trPr>
        <w:tc>
          <w:tcPr>
            <w:tcW w:w="1160" w:type="dxa"/>
            <w:tcBorders>
              <w:top w:val="nil"/>
              <w:left w:val="nil"/>
              <w:bottom w:val="nil"/>
              <w:right w:val="nil"/>
            </w:tcBorders>
            <w:shd w:val="clear" w:color="auto" w:fill="auto"/>
            <w:noWrap/>
            <w:vAlign w:val="bottom"/>
            <w:hideMark/>
          </w:tcPr>
          <w:p w:rsidR="00CE1D95" w:rsidRPr="00CE1D95" w:rsidRDefault="00CE1D95" w:rsidP="00CE1D95">
            <w:pPr>
              <w:jc w:val="center"/>
              <w:rPr>
                <w:rFonts w:ascii="Calibri" w:hAnsi="Calibri"/>
                <w:color w:val="000000"/>
                <w:sz w:val="22"/>
                <w:szCs w:val="22"/>
              </w:rPr>
            </w:pPr>
            <w:r w:rsidRPr="00CE1D95">
              <w:rPr>
                <w:rFonts w:ascii="Calibri" w:hAnsi="Calibri"/>
                <w:color w:val="000000"/>
                <w:sz w:val="22"/>
                <w:szCs w:val="22"/>
              </w:rPr>
              <w:t>2008</w:t>
            </w:r>
          </w:p>
        </w:tc>
        <w:tc>
          <w:tcPr>
            <w:tcW w:w="1160" w:type="dxa"/>
            <w:tcBorders>
              <w:top w:val="nil"/>
              <w:left w:val="nil"/>
              <w:bottom w:val="nil"/>
              <w:right w:val="nil"/>
            </w:tcBorders>
            <w:shd w:val="clear" w:color="auto" w:fill="auto"/>
            <w:noWrap/>
            <w:vAlign w:val="bottom"/>
            <w:hideMark/>
          </w:tcPr>
          <w:p w:rsidR="00CE1D95" w:rsidRPr="00CE1D95" w:rsidRDefault="00CE1D95" w:rsidP="00CE1D95">
            <w:pPr>
              <w:jc w:val="right"/>
              <w:rPr>
                <w:rFonts w:ascii="Calibri" w:hAnsi="Calibri"/>
                <w:color w:val="000000"/>
                <w:sz w:val="22"/>
                <w:szCs w:val="22"/>
              </w:rPr>
            </w:pPr>
            <w:r w:rsidRPr="00CE1D95">
              <w:rPr>
                <w:rFonts w:ascii="Calibri" w:hAnsi="Calibri"/>
                <w:color w:val="000000"/>
                <w:sz w:val="22"/>
                <w:szCs w:val="22"/>
              </w:rPr>
              <w:t>$11.7</w:t>
            </w:r>
          </w:p>
        </w:tc>
      </w:tr>
      <w:tr w:rsidR="00CE1D95" w:rsidRPr="00CE1D95" w:rsidTr="00CE1D95">
        <w:trPr>
          <w:trHeight w:val="288"/>
        </w:trPr>
        <w:tc>
          <w:tcPr>
            <w:tcW w:w="1160" w:type="dxa"/>
            <w:tcBorders>
              <w:top w:val="nil"/>
              <w:left w:val="nil"/>
              <w:bottom w:val="nil"/>
              <w:right w:val="nil"/>
            </w:tcBorders>
            <w:shd w:val="clear" w:color="auto" w:fill="auto"/>
            <w:noWrap/>
            <w:vAlign w:val="bottom"/>
            <w:hideMark/>
          </w:tcPr>
          <w:p w:rsidR="00CE1D95" w:rsidRPr="00CE1D95" w:rsidRDefault="00CE1D95" w:rsidP="00CE1D95">
            <w:pPr>
              <w:jc w:val="center"/>
              <w:rPr>
                <w:rFonts w:ascii="Calibri" w:hAnsi="Calibri"/>
                <w:color w:val="000000"/>
                <w:sz w:val="22"/>
                <w:szCs w:val="22"/>
              </w:rPr>
            </w:pPr>
            <w:r w:rsidRPr="00CE1D95">
              <w:rPr>
                <w:rFonts w:ascii="Calibri" w:hAnsi="Calibri"/>
                <w:color w:val="000000"/>
                <w:sz w:val="22"/>
                <w:szCs w:val="22"/>
              </w:rPr>
              <w:t>2009</w:t>
            </w:r>
          </w:p>
        </w:tc>
        <w:tc>
          <w:tcPr>
            <w:tcW w:w="1160" w:type="dxa"/>
            <w:tcBorders>
              <w:top w:val="nil"/>
              <w:left w:val="nil"/>
              <w:bottom w:val="nil"/>
              <w:right w:val="nil"/>
            </w:tcBorders>
            <w:shd w:val="clear" w:color="auto" w:fill="auto"/>
            <w:noWrap/>
            <w:vAlign w:val="bottom"/>
            <w:hideMark/>
          </w:tcPr>
          <w:p w:rsidR="00CE1D95" w:rsidRPr="00CE1D95" w:rsidRDefault="00CE1D95" w:rsidP="00CE1D95">
            <w:pPr>
              <w:jc w:val="right"/>
              <w:rPr>
                <w:rFonts w:ascii="Calibri" w:hAnsi="Calibri"/>
                <w:color w:val="000000"/>
                <w:sz w:val="22"/>
                <w:szCs w:val="22"/>
              </w:rPr>
            </w:pPr>
            <w:r w:rsidRPr="00CE1D95">
              <w:rPr>
                <w:rFonts w:ascii="Calibri" w:hAnsi="Calibri"/>
                <w:color w:val="000000"/>
                <w:sz w:val="22"/>
                <w:szCs w:val="22"/>
              </w:rPr>
              <w:t>$2.3</w:t>
            </w:r>
          </w:p>
        </w:tc>
      </w:tr>
      <w:tr w:rsidR="00CE1D95" w:rsidRPr="00CE1D95" w:rsidTr="00CE1D95">
        <w:trPr>
          <w:trHeight w:val="288"/>
        </w:trPr>
        <w:tc>
          <w:tcPr>
            <w:tcW w:w="1160" w:type="dxa"/>
            <w:tcBorders>
              <w:top w:val="nil"/>
              <w:left w:val="nil"/>
              <w:bottom w:val="nil"/>
              <w:right w:val="nil"/>
            </w:tcBorders>
            <w:shd w:val="clear" w:color="auto" w:fill="auto"/>
            <w:noWrap/>
            <w:vAlign w:val="bottom"/>
            <w:hideMark/>
          </w:tcPr>
          <w:p w:rsidR="00CE1D95" w:rsidRPr="00CE1D95" w:rsidRDefault="00CE1D95" w:rsidP="00CE1D95">
            <w:pPr>
              <w:jc w:val="center"/>
              <w:rPr>
                <w:rFonts w:ascii="Calibri" w:hAnsi="Calibri"/>
                <w:color w:val="000000"/>
                <w:sz w:val="22"/>
                <w:szCs w:val="22"/>
              </w:rPr>
            </w:pPr>
            <w:r w:rsidRPr="00CE1D95">
              <w:rPr>
                <w:rFonts w:ascii="Calibri" w:hAnsi="Calibri"/>
                <w:color w:val="000000"/>
                <w:sz w:val="22"/>
                <w:szCs w:val="22"/>
              </w:rPr>
              <w:t>2010</w:t>
            </w:r>
          </w:p>
        </w:tc>
        <w:tc>
          <w:tcPr>
            <w:tcW w:w="1160" w:type="dxa"/>
            <w:tcBorders>
              <w:top w:val="nil"/>
              <w:left w:val="nil"/>
              <w:bottom w:val="nil"/>
              <w:right w:val="nil"/>
            </w:tcBorders>
            <w:shd w:val="clear" w:color="auto" w:fill="auto"/>
            <w:noWrap/>
            <w:vAlign w:val="bottom"/>
            <w:hideMark/>
          </w:tcPr>
          <w:p w:rsidR="00CE1D95" w:rsidRPr="00CE1D95" w:rsidRDefault="00CE1D95" w:rsidP="00CE1D95">
            <w:pPr>
              <w:jc w:val="right"/>
              <w:rPr>
                <w:rFonts w:ascii="Calibri" w:hAnsi="Calibri"/>
                <w:color w:val="000000"/>
                <w:sz w:val="22"/>
                <w:szCs w:val="22"/>
              </w:rPr>
            </w:pPr>
            <w:r w:rsidRPr="00CE1D95">
              <w:rPr>
                <w:rFonts w:ascii="Calibri" w:hAnsi="Calibri"/>
                <w:color w:val="000000"/>
                <w:sz w:val="22"/>
                <w:szCs w:val="22"/>
              </w:rPr>
              <w:t>$0.9</w:t>
            </w:r>
          </w:p>
        </w:tc>
      </w:tr>
      <w:tr w:rsidR="00CE1D95" w:rsidRPr="00CE1D95" w:rsidTr="00CE1D95">
        <w:trPr>
          <w:trHeight w:val="288"/>
        </w:trPr>
        <w:tc>
          <w:tcPr>
            <w:tcW w:w="1160" w:type="dxa"/>
            <w:tcBorders>
              <w:top w:val="nil"/>
              <w:left w:val="nil"/>
              <w:bottom w:val="nil"/>
              <w:right w:val="nil"/>
            </w:tcBorders>
            <w:shd w:val="clear" w:color="auto" w:fill="auto"/>
            <w:noWrap/>
            <w:vAlign w:val="bottom"/>
            <w:hideMark/>
          </w:tcPr>
          <w:p w:rsidR="00CE1D95" w:rsidRPr="00CE1D95" w:rsidRDefault="00CE1D95" w:rsidP="00CE1D95">
            <w:pPr>
              <w:jc w:val="center"/>
              <w:rPr>
                <w:rFonts w:ascii="Calibri" w:hAnsi="Calibri"/>
                <w:color w:val="000000"/>
                <w:sz w:val="22"/>
                <w:szCs w:val="22"/>
              </w:rPr>
            </w:pPr>
            <w:r w:rsidRPr="00CE1D95">
              <w:rPr>
                <w:rFonts w:ascii="Calibri" w:hAnsi="Calibri"/>
                <w:color w:val="000000"/>
                <w:sz w:val="22"/>
                <w:szCs w:val="22"/>
              </w:rPr>
              <w:t>2011</w:t>
            </w:r>
          </w:p>
        </w:tc>
        <w:tc>
          <w:tcPr>
            <w:tcW w:w="1160" w:type="dxa"/>
            <w:tcBorders>
              <w:top w:val="nil"/>
              <w:left w:val="nil"/>
              <w:bottom w:val="nil"/>
              <w:right w:val="nil"/>
            </w:tcBorders>
            <w:shd w:val="clear" w:color="auto" w:fill="auto"/>
            <w:noWrap/>
            <w:vAlign w:val="bottom"/>
            <w:hideMark/>
          </w:tcPr>
          <w:p w:rsidR="00CE1D95" w:rsidRPr="00CE1D95" w:rsidRDefault="00CE1D95" w:rsidP="00CE1D95">
            <w:pPr>
              <w:jc w:val="right"/>
              <w:rPr>
                <w:rFonts w:ascii="Calibri" w:hAnsi="Calibri"/>
                <w:color w:val="000000"/>
                <w:sz w:val="22"/>
                <w:szCs w:val="22"/>
              </w:rPr>
            </w:pPr>
            <w:r w:rsidRPr="00CE1D95">
              <w:rPr>
                <w:rFonts w:ascii="Calibri" w:hAnsi="Calibri"/>
                <w:color w:val="000000"/>
                <w:sz w:val="22"/>
                <w:szCs w:val="22"/>
              </w:rPr>
              <w:t>$0.4</w:t>
            </w:r>
          </w:p>
        </w:tc>
      </w:tr>
      <w:tr w:rsidR="00CE1D95" w:rsidRPr="00CE1D95" w:rsidTr="00CE1D95">
        <w:trPr>
          <w:trHeight w:val="288"/>
        </w:trPr>
        <w:tc>
          <w:tcPr>
            <w:tcW w:w="1160" w:type="dxa"/>
            <w:tcBorders>
              <w:top w:val="nil"/>
              <w:left w:val="nil"/>
              <w:bottom w:val="nil"/>
              <w:right w:val="nil"/>
            </w:tcBorders>
            <w:shd w:val="clear" w:color="auto" w:fill="auto"/>
            <w:noWrap/>
            <w:vAlign w:val="bottom"/>
            <w:hideMark/>
          </w:tcPr>
          <w:p w:rsidR="00CE1D95" w:rsidRPr="00CE1D95" w:rsidRDefault="00CE1D95" w:rsidP="00CE1D95">
            <w:pPr>
              <w:jc w:val="center"/>
              <w:rPr>
                <w:rFonts w:ascii="Calibri" w:hAnsi="Calibri"/>
                <w:color w:val="000000"/>
                <w:sz w:val="22"/>
                <w:szCs w:val="22"/>
              </w:rPr>
            </w:pPr>
            <w:r w:rsidRPr="00CE1D95">
              <w:rPr>
                <w:rFonts w:ascii="Calibri" w:hAnsi="Calibri"/>
                <w:color w:val="000000"/>
                <w:sz w:val="22"/>
                <w:szCs w:val="22"/>
              </w:rPr>
              <w:t>2012</w:t>
            </w:r>
          </w:p>
        </w:tc>
        <w:tc>
          <w:tcPr>
            <w:tcW w:w="1160" w:type="dxa"/>
            <w:tcBorders>
              <w:top w:val="nil"/>
              <w:left w:val="nil"/>
              <w:bottom w:val="nil"/>
              <w:right w:val="nil"/>
            </w:tcBorders>
            <w:shd w:val="clear" w:color="auto" w:fill="auto"/>
            <w:noWrap/>
            <w:vAlign w:val="bottom"/>
            <w:hideMark/>
          </w:tcPr>
          <w:p w:rsidR="00CE1D95" w:rsidRPr="00CE1D95" w:rsidRDefault="00CE1D95" w:rsidP="00CE1D95">
            <w:pPr>
              <w:jc w:val="right"/>
              <w:rPr>
                <w:rFonts w:ascii="Calibri" w:hAnsi="Calibri"/>
                <w:color w:val="000000"/>
                <w:sz w:val="22"/>
                <w:szCs w:val="22"/>
              </w:rPr>
            </w:pPr>
            <w:r w:rsidRPr="00CE1D95">
              <w:rPr>
                <w:rFonts w:ascii="Calibri" w:hAnsi="Calibri"/>
                <w:color w:val="000000"/>
                <w:sz w:val="22"/>
                <w:szCs w:val="22"/>
              </w:rPr>
              <w:t>-$0.1</w:t>
            </w:r>
          </w:p>
        </w:tc>
      </w:tr>
      <w:tr w:rsidR="00CE1D95" w:rsidRPr="00CE1D95" w:rsidTr="00CE1D95">
        <w:trPr>
          <w:trHeight w:val="288"/>
        </w:trPr>
        <w:tc>
          <w:tcPr>
            <w:tcW w:w="1160" w:type="dxa"/>
            <w:tcBorders>
              <w:top w:val="nil"/>
              <w:left w:val="nil"/>
              <w:bottom w:val="nil"/>
              <w:right w:val="nil"/>
            </w:tcBorders>
            <w:shd w:val="clear" w:color="auto" w:fill="auto"/>
            <w:noWrap/>
            <w:vAlign w:val="bottom"/>
            <w:hideMark/>
          </w:tcPr>
          <w:p w:rsidR="00CE1D95" w:rsidRPr="00CE1D95" w:rsidRDefault="00CE1D95" w:rsidP="00CE1D95">
            <w:pPr>
              <w:jc w:val="center"/>
              <w:rPr>
                <w:rFonts w:ascii="Calibri" w:hAnsi="Calibri"/>
                <w:color w:val="000000"/>
                <w:sz w:val="22"/>
                <w:szCs w:val="22"/>
              </w:rPr>
            </w:pPr>
            <w:r w:rsidRPr="00CE1D95">
              <w:rPr>
                <w:rFonts w:ascii="Calibri" w:hAnsi="Calibri"/>
                <w:color w:val="000000"/>
                <w:sz w:val="22"/>
                <w:szCs w:val="22"/>
              </w:rPr>
              <w:t>2013</w:t>
            </w:r>
          </w:p>
        </w:tc>
        <w:tc>
          <w:tcPr>
            <w:tcW w:w="1160" w:type="dxa"/>
            <w:tcBorders>
              <w:top w:val="nil"/>
              <w:left w:val="nil"/>
              <w:bottom w:val="nil"/>
              <w:right w:val="nil"/>
            </w:tcBorders>
            <w:shd w:val="clear" w:color="auto" w:fill="auto"/>
            <w:noWrap/>
            <w:vAlign w:val="bottom"/>
            <w:hideMark/>
          </w:tcPr>
          <w:p w:rsidR="00CE1D95" w:rsidRPr="00CE1D95" w:rsidRDefault="00CE1D95" w:rsidP="00CE1D95">
            <w:pPr>
              <w:jc w:val="right"/>
              <w:rPr>
                <w:rFonts w:ascii="Calibri" w:hAnsi="Calibri"/>
                <w:color w:val="000000"/>
                <w:sz w:val="22"/>
                <w:szCs w:val="22"/>
              </w:rPr>
            </w:pPr>
            <w:r w:rsidRPr="00CE1D95">
              <w:rPr>
                <w:rFonts w:ascii="Calibri" w:hAnsi="Calibri"/>
                <w:color w:val="000000"/>
                <w:sz w:val="22"/>
                <w:szCs w:val="22"/>
              </w:rPr>
              <w:t>-$0.4</w:t>
            </w:r>
          </w:p>
        </w:tc>
      </w:tr>
      <w:tr w:rsidR="00CE1D95" w:rsidRPr="00CE1D95" w:rsidTr="00CE1D95">
        <w:trPr>
          <w:trHeight w:val="288"/>
        </w:trPr>
        <w:tc>
          <w:tcPr>
            <w:tcW w:w="1160" w:type="dxa"/>
            <w:tcBorders>
              <w:top w:val="nil"/>
              <w:left w:val="nil"/>
              <w:bottom w:val="nil"/>
              <w:right w:val="nil"/>
            </w:tcBorders>
            <w:shd w:val="clear" w:color="auto" w:fill="auto"/>
            <w:noWrap/>
            <w:vAlign w:val="bottom"/>
            <w:hideMark/>
          </w:tcPr>
          <w:p w:rsidR="00CE1D95" w:rsidRPr="00CE1D95" w:rsidRDefault="00CE1D95" w:rsidP="00CE1D95">
            <w:pPr>
              <w:jc w:val="center"/>
              <w:rPr>
                <w:rFonts w:ascii="Calibri" w:hAnsi="Calibri"/>
                <w:color w:val="000000"/>
                <w:sz w:val="22"/>
                <w:szCs w:val="22"/>
              </w:rPr>
            </w:pPr>
            <w:r w:rsidRPr="00CE1D95">
              <w:rPr>
                <w:rFonts w:ascii="Calibri" w:hAnsi="Calibri"/>
                <w:color w:val="000000"/>
                <w:sz w:val="22"/>
                <w:szCs w:val="22"/>
              </w:rPr>
              <w:t>2014</w:t>
            </w:r>
          </w:p>
        </w:tc>
        <w:tc>
          <w:tcPr>
            <w:tcW w:w="1160" w:type="dxa"/>
            <w:tcBorders>
              <w:top w:val="nil"/>
              <w:left w:val="nil"/>
              <w:bottom w:val="nil"/>
              <w:right w:val="nil"/>
            </w:tcBorders>
            <w:shd w:val="clear" w:color="auto" w:fill="auto"/>
            <w:noWrap/>
            <w:vAlign w:val="bottom"/>
            <w:hideMark/>
          </w:tcPr>
          <w:p w:rsidR="00CE1D95" w:rsidRPr="00CE1D95" w:rsidRDefault="00CE1D95" w:rsidP="00CE1D95">
            <w:pPr>
              <w:jc w:val="right"/>
              <w:rPr>
                <w:rFonts w:ascii="Calibri" w:hAnsi="Calibri"/>
                <w:color w:val="000000"/>
                <w:sz w:val="22"/>
                <w:szCs w:val="22"/>
              </w:rPr>
            </w:pPr>
            <w:r w:rsidRPr="00CE1D95">
              <w:rPr>
                <w:rFonts w:ascii="Calibri" w:hAnsi="Calibri"/>
                <w:color w:val="000000"/>
                <w:sz w:val="22"/>
                <w:szCs w:val="22"/>
              </w:rPr>
              <w:t>$0.2</w:t>
            </w:r>
          </w:p>
        </w:tc>
      </w:tr>
      <w:tr w:rsidR="00CE1D95" w:rsidRPr="00CE1D95" w:rsidTr="00CE1D95">
        <w:trPr>
          <w:trHeight w:val="288"/>
        </w:trPr>
        <w:tc>
          <w:tcPr>
            <w:tcW w:w="1160" w:type="dxa"/>
            <w:tcBorders>
              <w:top w:val="nil"/>
              <w:left w:val="nil"/>
              <w:bottom w:val="nil"/>
              <w:right w:val="nil"/>
            </w:tcBorders>
            <w:shd w:val="clear" w:color="auto" w:fill="auto"/>
            <w:noWrap/>
            <w:vAlign w:val="bottom"/>
            <w:hideMark/>
          </w:tcPr>
          <w:p w:rsidR="00CE1D95" w:rsidRPr="00CE1D95" w:rsidRDefault="00CE1D95" w:rsidP="00CE1D95">
            <w:pPr>
              <w:jc w:val="center"/>
              <w:rPr>
                <w:rFonts w:ascii="Calibri" w:hAnsi="Calibri"/>
                <w:color w:val="000000"/>
                <w:sz w:val="22"/>
                <w:szCs w:val="22"/>
              </w:rPr>
            </w:pPr>
            <w:r w:rsidRPr="00CE1D95">
              <w:rPr>
                <w:rFonts w:ascii="Calibri" w:hAnsi="Calibri"/>
                <w:color w:val="000000"/>
                <w:sz w:val="22"/>
                <w:szCs w:val="22"/>
              </w:rPr>
              <w:t>2015 YTD</w:t>
            </w:r>
          </w:p>
        </w:tc>
        <w:tc>
          <w:tcPr>
            <w:tcW w:w="1160" w:type="dxa"/>
            <w:tcBorders>
              <w:top w:val="nil"/>
              <w:left w:val="nil"/>
              <w:bottom w:val="single" w:sz="4" w:space="0" w:color="auto"/>
              <w:right w:val="nil"/>
            </w:tcBorders>
            <w:shd w:val="clear" w:color="auto" w:fill="auto"/>
            <w:noWrap/>
            <w:vAlign w:val="bottom"/>
            <w:hideMark/>
          </w:tcPr>
          <w:p w:rsidR="00CE1D95" w:rsidRPr="00CE1D95" w:rsidRDefault="00CE1D95" w:rsidP="00CE1D95">
            <w:pPr>
              <w:jc w:val="right"/>
              <w:rPr>
                <w:rFonts w:ascii="Calibri" w:hAnsi="Calibri"/>
                <w:color w:val="000000"/>
                <w:sz w:val="22"/>
                <w:szCs w:val="22"/>
              </w:rPr>
            </w:pPr>
            <w:r w:rsidRPr="00CE1D95">
              <w:rPr>
                <w:rFonts w:ascii="Calibri" w:hAnsi="Calibri"/>
                <w:color w:val="000000"/>
                <w:sz w:val="22"/>
                <w:szCs w:val="22"/>
              </w:rPr>
              <w:t>$0.2</w:t>
            </w:r>
          </w:p>
        </w:tc>
      </w:tr>
      <w:tr w:rsidR="00CE1D95" w:rsidRPr="00CE1D95" w:rsidTr="00CE1D95">
        <w:trPr>
          <w:trHeight w:val="288"/>
        </w:trPr>
        <w:tc>
          <w:tcPr>
            <w:tcW w:w="1160" w:type="dxa"/>
            <w:tcBorders>
              <w:top w:val="nil"/>
              <w:left w:val="nil"/>
              <w:bottom w:val="nil"/>
              <w:right w:val="nil"/>
            </w:tcBorders>
            <w:shd w:val="clear" w:color="auto" w:fill="auto"/>
            <w:noWrap/>
            <w:vAlign w:val="bottom"/>
            <w:hideMark/>
          </w:tcPr>
          <w:p w:rsidR="00CE1D95" w:rsidRPr="00CE1D95" w:rsidRDefault="00CE1D95" w:rsidP="00CE1D95">
            <w:pPr>
              <w:jc w:val="center"/>
              <w:rPr>
                <w:rFonts w:ascii="Calibri" w:hAnsi="Calibri"/>
                <w:color w:val="000000"/>
                <w:sz w:val="22"/>
                <w:szCs w:val="22"/>
              </w:rPr>
            </w:pPr>
            <w:r w:rsidRPr="00CE1D95">
              <w:rPr>
                <w:rFonts w:ascii="Calibri" w:hAnsi="Calibri"/>
                <w:color w:val="000000"/>
                <w:sz w:val="22"/>
                <w:szCs w:val="22"/>
              </w:rPr>
              <w:t>Total</w:t>
            </w:r>
          </w:p>
        </w:tc>
        <w:tc>
          <w:tcPr>
            <w:tcW w:w="1160" w:type="dxa"/>
            <w:tcBorders>
              <w:top w:val="nil"/>
              <w:left w:val="nil"/>
              <w:bottom w:val="nil"/>
              <w:right w:val="nil"/>
            </w:tcBorders>
            <w:shd w:val="clear" w:color="auto" w:fill="auto"/>
            <w:noWrap/>
            <w:vAlign w:val="bottom"/>
            <w:hideMark/>
          </w:tcPr>
          <w:p w:rsidR="00CE1D95" w:rsidRPr="00CE1D95" w:rsidRDefault="00CE1D95" w:rsidP="00CE1D95">
            <w:pPr>
              <w:jc w:val="right"/>
              <w:rPr>
                <w:rFonts w:ascii="Calibri" w:hAnsi="Calibri"/>
                <w:color w:val="000000"/>
                <w:sz w:val="22"/>
                <w:szCs w:val="22"/>
              </w:rPr>
            </w:pPr>
            <w:r w:rsidRPr="00CE1D95">
              <w:rPr>
                <w:rFonts w:ascii="Calibri" w:hAnsi="Calibri"/>
                <w:color w:val="000000"/>
                <w:sz w:val="22"/>
                <w:szCs w:val="22"/>
              </w:rPr>
              <w:t>$79.2</w:t>
            </w:r>
          </w:p>
        </w:tc>
      </w:tr>
    </w:tbl>
    <w:p w:rsidR="00CE1D95" w:rsidRDefault="00CE1D95" w:rsidP="00167FE8">
      <w:pPr>
        <w:spacing w:line="480" w:lineRule="auto"/>
        <w:ind w:left="720" w:hanging="720"/>
        <w:rPr>
          <w:bCs/>
        </w:rPr>
      </w:pPr>
    </w:p>
    <w:p w:rsidR="00B82E8A" w:rsidRDefault="00167FE8" w:rsidP="00167FE8">
      <w:pPr>
        <w:spacing w:line="480" w:lineRule="auto"/>
        <w:ind w:left="720" w:hanging="720"/>
        <w:rPr>
          <w:bCs/>
        </w:rPr>
      </w:pPr>
      <w:r>
        <w:rPr>
          <w:bCs/>
        </w:rPr>
        <w:tab/>
      </w:r>
    </w:p>
    <w:p w:rsidR="00B82E8A" w:rsidRDefault="00B82E8A" w:rsidP="00B82E8A">
      <w:pPr>
        <w:spacing w:line="480" w:lineRule="auto"/>
        <w:ind w:left="720" w:hanging="720"/>
        <w:rPr>
          <w:b/>
          <w:bCs/>
        </w:rPr>
      </w:pPr>
      <w:r>
        <w:rPr>
          <w:b/>
          <w:bCs/>
        </w:rPr>
        <w:t>Q.</w:t>
      </w:r>
      <w:r>
        <w:rPr>
          <w:b/>
          <w:bCs/>
        </w:rPr>
        <w:tab/>
        <w:t xml:space="preserve">GIVEN </w:t>
      </w:r>
      <w:r w:rsidR="007F24BC">
        <w:rPr>
          <w:b/>
          <w:bCs/>
        </w:rPr>
        <w:t xml:space="preserve">THAT </w:t>
      </w:r>
      <w:r>
        <w:rPr>
          <w:b/>
          <w:bCs/>
        </w:rPr>
        <w:t>THE FUEL BALANCE CAN MITIGATE THE VOLATILITY OF NAT</w:t>
      </w:r>
      <w:r w:rsidR="00626803">
        <w:rPr>
          <w:b/>
          <w:bCs/>
        </w:rPr>
        <w:t>UR</w:t>
      </w:r>
      <w:r>
        <w:rPr>
          <w:b/>
          <w:bCs/>
        </w:rPr>
        <w:t>AL GAS PRICES AT A FRACTION OF THE COST OF HEDGING PROGRAM</w:t>
      </w:r>
      <w:r w:rsidR="007F24BC">
        <w:rPr>
          <w:b/>
          <w:bCs/>
        </w:rPr>
        <w:t>,</w:t>
      </w:r>
      <w:r>
        <w:rPr>
          <w:b/>
          <w:bCs/>
        </w:rPr>
        <w:t xml:space="preserve"> </w:t>
      </w:r>
      <w:r w:rsidR="007F24BC">
        <w:rPr>
          <w:b/>
          <w:bCs/>
        </w:rPr>
        <w:t>IS A HEDGING PROGRAM NECESSARY</w:t>
      </w:r>
      <w:r>
        <w:rPr>
          <w:b/>
          <w:bCs/>
        </w:rPr>
        <w:t>?</w:t>
      </w:r>
    </w:p>
    <w:p w:rsidR="00191500" w:rsidRDefault="00B82E8A" w:rsidP="00B82E8A">
      <w:pPr>
        <w:spacing w:line="480" w:lineRule="auto"/>
        <w:ind w:left="720" w:hanging="720"/>
        <w:rPr>
          <w:bCs/>
        </w:rPr>
      </w:pPr>
      <w:r>
        <w:rPr>
          <w:b/>
          <w:bCs/>
        </w:rPr>
        <w:t>A.</w:t>
      </w:r>
      <w:r>
        <w:rPr>
          <w:b/>
          <w:bCs/>
        </w:rPr>
        <w:tab/>
      </w:r>
      <w:r w:rsidR="007F24BC" w:rsidRPr="007F24BC">
        <w:rPr>
          <w:bCs/>
        </w:rPr>
        <w:t>No, it is not.</w:t>
      </w:r>
      <w:r w:rsidR="007F24BC">
        <w:rPr>
          <w:bCs/>
        </w:rPr>
        <w:t xml:space="preserve"> </w:t>
      </w:r>
      <w:r>
        <w:rPr>
          <w:bCs/>
        </w:rPr>
        <w:t xml:space="preserve">The Commission could eliminate the hedging program and </w:t>
      </w:r>
      <w:r w:rsidR="007F24BC">
        <w:rPr>
          <w:bCs/>
        </w:rPr>
        <w:t>allow</w:t>
      </w:r>
      <w:r>
        <w:rPr>
          <w:bCs/>
        </w:rPr>
        <w:t xml:space="preserve"> the fuel balance to mitigate the volatility of natural gas prices. This would certainly be a less expensive alternative than the current hedging program or </w:t>
      </w:r>
      <w:r w:rsidR="00626803">
        <w:rPr>
          <w:bCs/>
        </w:rPr>
        <w:t xml:space="preserve">a hedging program </w:t>
      </w:r>
      <w:r>
        <w:rPr>
          <w:bCs/>
        </w:rPr>
        <w:t>with the modification</w:t>
      </w:r>
      <w:r w:rsidR="00626803">
        <w:rPr>
          <w:bCs/>
        </w:rPr>
        <w:t>s</w:t>
      </w:r>
      <w:r>
        <w:rPr>
          <w:bCs/>
        </w:rPr>
        <w:t xml:space="preserve"> proposed by the Company. </w:t>
      </w:r>
    </w:p>
    <w:p w:rsidR="00191500" w:rsidRDefault="00191500" w:rsidP="00191500">
      <w:pPr>
        <w:spacing w:line="480" w:lineRule="auto"/>
        <w:ind w:left="720" w:hanging="720"/>
        <w:rPr>
          <w:bCs/>
        </w:rPr>
      </w:pPr>
    </w:p>
    <w:p w:rsidR="00191500" w:rsidRDefault="00191500" w:rsidP="00191500">
      <w:pPr>
        <w:spacing w:line="480" w:lineRule="auto"/>
        <w:ind w:left="720" w:hanging="720"/>
        <w:rPr>
          <w:b/>
          <w:bCs/>
        </w:rPr>
      </w:pPr>
      <w:r>
        <w:rPr>
          <w:b/>
          <w:bCs/>
        </w:rPr>
        <w:lastRenderedPageBreak/>
        <w:t>Q.</w:t>
      </w:r>
      <w:r>
        <w:rPr>
          <w:b/>
          <w:bCs/>
        </w:rPr>
        <w:tab/>
        <w:t xml:space="preserve">WHAT IS STAFF’S OPINION OF THE </w:t>
      </w:r>
      <w:r w:rsidR="00CC0A80">
        <w:rPr>
          <w:b/>
          <w:bCs/>
        </w:rPr>
        <w:t xml:space="preserve">COMPANY’S PROPOSED </w:t>
      </w:r>
      <w:r>
        <w:rPr>
          <w:b/>
          <w:bCs/>
        </w:rPr>
        <w:t xml:space="preserve">MODIFICATIONS TO THE HEDGING </w:t>
      </w:r>
      <w:r w:rsidR="008B0483">
        <w:rPr>
          <w:b/>
          <w:bCs/>
        </w:rPr>
        <w:t>PROGRAM?</w:t>
      </w:r>
    </w:p>
    <w:p w:rsidR="00167FE8" w:rsidRDefault="00191500" w:rsidP="00191500">
      <w:pPr>
        <w:spacing w:line="480" w:lineRule="auto"/>
        <w:ind w:left="720" w:hanging="720"/>
        <w:rPr>
          <w:bCs/>
        </w:rPr>
      </w:pPr>
      <w:r>
        <w:rPr>
          <w:b/>
          <w:bCs/>
        </w:rPr>
        <w:t>A.</w:t>
      </w:r>
      <w:r>
        <w:rPr>
          <w:b/>
          <w:bCs/>
        </w:rPr>
        <w:tab/>
      </w:r>
      <w:r w:rsidRPr="00A17BF8">
        <w:rPr>
          <w:bCs/>
        </w:rPr>
        <w:t xml:space="preserve">The modifications are </w:t>
      </w:r>
      <w:r w:rsidR="00A17BF8" w:rsidRPr="00A17BF8">
        <w:rPr>
          <w:bCs/>
        </w:rPr>
        <w:t>not in the public inter</w:t>
      </w:r>
      <w:r w:rsidRPr="00A17BF8">
        <w:rPr>
          <w:bCs/>
        </w:rPr>
        <w:t xml:space="preserve">est </w:t>
      </w:r>
      <w:r w:rsidR="00A17BF8" w:rsidRPr="00A17BF8">
        <w:rPr>
          <w:bCs/>
        </w:rPr>
        <w:t>and</w:t>
      </w:r>
      <w:r w:rsidRPr="00A17BF8">
        <w:rPr>
          <w:bCs/>
        </w:rPr>
        <w:t xml:space="preserve"> should </w:t>
      </w:r>
      <w:r w:rsidR="00AC6951">
        <w:rPr>
          <w:bCs/>
        </w:rPr>
        <w:t>not be approved</w:t>
      </w:r>
      <w:r w:rsidRPr="00A17BF8">
        <w:rPr>
          <w:bCs/>
        </w:rPr>
        <w:t xml:space="preserve"> by the Commission. </w:t>
      </w:r>
      <w:r w:rsidR="00A17BF8" w:rsidRPr="00A17BF8">
        <w:rPr>
          <w:bCs/>
        </w:rPr>
        <w:t xml:space="preserve">The </w:t>
      </w:r>
      <w:r w:rsidRPr="00A17BF8">
        <w:rPr>
          <w:bCs/>
        </w:rPr>
        <w:t xml:space="preserve">Company proposes to </w:t>
      </w:r>
      <w:r w:rsidR="00AC6951">
        <w:rPr>
          <w:bCs/>
        </w:rPr>
        <w:t>revert</w:t>
      </w:r>
      <w:r w:rsidRPr="00A17BF8">
        <w:rPr>
          <w:bCs/>
        </w:rPr>
        <w:t xml:space="preserve"> to similar </w:t>
      </w:r>
      <w:r w:rsidR="00A17BF8" w:rsidRPr="00A17BF8">
        <w:rPr>
          <w:bCs/>
        </w:rPr>
        <w:t xml:space="preserve">hedging program </w:t>
      </w:r>
      <w:r w:rsidRPr="00A17BF8">
        <w:rPr>
          <w:bCs/>
        </w:rPr>
        <w:t>rules that were in p</w:t>
      </w:r>
      <w:r w:rsidR="00E8148F">
        <w:rPr>
          <w:bCs/>
        </w:rPr>
        <w:t>l</w:t>
      </w:r>
      <w:r w:rsidRPr="00A17BF8">
        <w:rPr>
          <w:bCs/>
        </w:rPr>
        <w:t>ace from 2007 – 2012</w:t>
      </w:r>
      <w:r w:rsidR="00A17BF8" w:rsidRPr="00A17BF8">
        <w:rPr>
          <w:bCs/>
        </w:rPr>
        <w:t xml:space="preserve"> when the hedging program incurred $</w:t>
      </w:r>
      <w:r w:rsidR="00D11584" w:rsidRPr="00D11584">
        <w:rPr>
          <w:bCs/>
        </w:rPr>
        <w:t>527</w:t>
      </w:r>
      <w:r w:rsidR="00842D66" w:rsidRPr="00A17BF8">
        <w:rPr>
          <w:bCs/>
        </w:rPr>
        <w:t xml:space="preserve"> </w:t>
      </w:r>
      <w:r w:rsidR="00A17BF8" w:rsidRPr="00A17BF8">
        <w:rPr>
          <w:bCs/>
        </w:rPr>
        <w:t xml:space="preserve">million of </w:t>
      </w:r>
      <w:r w:rsidR="00A17BF8">
        <w:rPr>
          <w:bCs/>
        </w:rPr>
        <w:t xml:space="preserve">additional </w:t>
      </w:r>
      <w:r w:rsidR="00A17BF8" w:rsidRPr="00A17BF8">
        <w:rPr>
          <w:bCs/>
        </w:rPr>
        <w:t xml:space="preserve">FCR </w:t>
      </w:r>
      <w:r w:rsidR="00A17BF8">
        <w:rPr>
          <w:bCs/>
        </w:rPr>
        <w:t>cost above the cost of the physical natural gas which was all passed onto ratepa</w:t>
      </w:r>
      <w:r w:rsidR="00A17BF8" w:rsidRPr="00A17BF8">
        <w:rPr>
          <w:bCs/>
        </w:rPr>
        <w:t>y</w:t>
      </w:r>
      <w:r w:rsidR="00A17BF8">
        <w:rPr>
          <w:bCs/>
        </w:rPr>
        <w:t>er</w:t>
      </w:r>
      <w:r w:rsidR="00A17BF8" w:rsidRPr="00A17BF8">
        <w:rPr>
          <w:bCs/>
        </w:rPr>
        <w:t>s</w:t>
      </w:r>
      <w:r w:rsidRPr="00A17BF8">
        <w:rPr>
          <w:bCs/>
        </w:rPr>
        <w:t xml:space="preserve">. </w:t>
      </w:r>
      <w:r w:rsidR="00357629">
        <w:rPr>
          <w:bCs/>
        </w:rPr>
        <w:t>The Company proposes</w:t>
      </w:r>
      <w:r w:rsidR="00A17BF8">
        <w:rPr>
          <w:bCs/>
        </w:rPr>
        <w:t xml:space="preserve"> to revert back to those same rules when the annual volume </w:t>
      </w:r>
      <w:r w:rsidR="00357629">
        <w:rPr>
          <w:bCs/>
        </w:rPr>
        <w:t xml:space="preserve">of natural </w:t>
      </w:r>
      <w:r w:rsidR="00A17BF8">
        <w:rPr>
          <w:bCs/>
        </w:rPr>
        <w:t xml:space="preserve">gas being burned going forward would be </w:t>
      </w:r>
      <w:r w:rsidR="00A17BF8" w:rsidRPr="00F10514">
        <w:rPr>
          <w:bCs/>
        </w:rPr>
        <w:t>twice</w:t>
      </w:r>
      <w:r w:rsidR="00A17BF8">
        <w:rPr>
          <w:bCs/>
        </w:rPr>
        <w:t xml:space="preserve"> as large as during the </w:t>
      </w:r>
      <w:r w:rsidR="00357629">
        <w:rPr>
          <w:bCs/>
        </w:rPr>
        <w:t>2007 -</w:t>
      </w:r>
      <w:r w:rsidR="00A17BF8">
        <w:rPr>
          <w:bCs/>
        </w:rPr>
        <w:t xml:space="preserve"> 2012 period. This would suggest the potential </w:t>
      </w:r>
      <w:r w:rsidR="00357629">
        <w:rPr>
          <w:bCs/>
        </w:rPr>
        <w:t xml:space="preserve">annual </w:t>
      </w:r>
      <w:r w:rsidR="00A17BF8">
        <w:rPr>
          <w:bCs/>
        </w:rPr>
        <w:t xml:space="preserve">cost to ratepayers from hedging program could be </w:t>
      </w:r>
      <w:r w:rsidR="00357629">
        <w:rPr>
          <w:bCs/>
        </w:rPr>
        <w:t>twice</w:t>
      </w:r>
      <w:r w:rsidR="00A17BF8">
        <w:rPr>
          <w:bCs/>
        </w:rPr>
        <w:t xml:space="preserve"> </w:t>
      </w:r>
      <w:r w:rsidR="00357629">
        <w:rPr>
          <w:bCs/>
        </w:rPr>
        <w:t>as large as experience</w:t>
      </w:r>
      <w:r w:rsidR="00AC6951">
        <w:rPr>
          <w:bCs/>
        </w:rPr>
        <w:t>d</w:t>
      </w:r>
      <w:r w:rsidR="00357629">
        <w:rPr>
          <w:bCs/>
        </w:rPr>
        <w:t xml:space="preserve"> in during the 2007 – 2012 period. </w:t>
      </w:r>
    </w:p>
    <w:p w:rsidR="00A17BF8" w:rsidRDefault="00A17BF8" w:rsidP="00191500">
      <w:pPr>
        <w:spacing w:line="480" w:lineRule="auto"/>
        <w:ind w:left="720" w:hanging="720"/>
        <w:rPr>
          <w:bCs/>
        </w:rPr>
      </w:pPr>
    </w:p>
    <w:p w:rsidR="00A17BF8" w:rsidRDefault="00A17BF8" w:rsidP="00A17BF8">
      <w:pPr>
        <w:spacing w:line="480" w:lineRule="auto"/>
        <w:ind w:left="720" w:hanging="720"/>
        <w:rPr>
          <w:b/>
          <w:bCs/>
        </w:rPr>
      </w:pPr>
      <w:r>
        <w:rPr>
          <w:b/>
          <w:bCs/>
        </w:rPr>
        <w:t>Q.</w:t>
      </w:r>
      <w:r>
        <w:rPr>
          <w:b/>
          <w:bCs/>
        </w:rPr>
        <w:tab/>
      </w:r>
      <w:r w:rsidR="00AC6951">
        <w:rPr>
          <w:b/>
          <w:bCs/>
        </w:rPr>
        <w:t xml:space="preserve">WHAT ARE THE PRIMARY COMPONENTS OF THE CURRENT HEDGING PROGRAM, AND </w:t>
      </w:r>
      <w:r>
        <w:rPr>
          <w:b/>
          <w:bCs/>
        </w:rPr>
        <w:t xml:space="preserve">WHY DOES STAFF BELIEVE </w:t>
      </w:r>
      <w:r w:rsidR="00AC6951">
        <w:rPr>
          <w:b/>
          <w:bCs/>
        </w:rPr>
        <w:t>THAT THEY SHOULD BE MAINTAINED</w:t>
      </w:r>
      <w:r>
        <w:rPr>
          <w:b/>
          <w:bCs/>
        </w:rPr>
        <w:t xml:space="preserve">? </w:t>
      </w:r>
    </w:p>
    <w:p w:rsidR="009C3F4C" w:rsidRDefault="00A17BF8" w:rsidP="00A17BF8">
      <w:pPr>
        <w:spacing w:line="480" w:lineRule="auto"/>
        <w:ind w:left="720" w:hanging="720"/>
        <w:rPr>
          <w:bCs/>
        </w:rPr>
      </w:pPr>
      <w:r>
        <w:rPr>
          <w:b/>
          <w:bCs/>
        </w:rPr>
        <w:t>A.</w:t>
      </w:r>
      <w:r>
        <w:rPr>
          <w:b/>
          <w:bCs/>
        </w:rPr>
        <w:tab/>
      </w:r>
      <w:r w:rsidR="00F254D7" w:rsidRPr="00F254D7">
        <w:rPr>
          <w:bCs/>
        </w:rPr>
        <w:t xml:space="preserve">The two primary components of the current hedging program are </w:t>
      </w:r>
      <w:r w:rsidR="00AC6951">
        <w:rPr>
          <w:bCs/>
        </w:rPr>
        <w:t>1) the sole use of</w:t>
      </w:r>
      <w:r w:rsidR="00F254D7" w:rsidRPr="00F254D7">
        <w:rPr>
          <w:bCs/>
        </w:rPr>
        <w:t xml:space="preserve"> call options to hedge and </w:t>
      </w:r>
      <w:r w:rsidR="00AC6951">
        <w:rPr>
          <w:bCs/>
        </w:rPr>
        <w:t xml:space="preserve">2) a </w:t>
      </w:r>
      <w:r w:rsidR="00F254D7" w:rsidRPr="00F254D7">
        <w:rPr>
          <w:bCs/>
        </w:rPr>
        <w:t>hard dollar cap on cost</w:t>
      </w:r>
      <w:r w:rsidR="00AC6951">
        <w:rPr>
          <w:bCs/>
        </w:rPr>
        <w:t>s</w:t>
      </w:r>
      <w:r w:rsidR="00F254D7" w:rsidRPr="00F254D7">
        <w:rPr>
          <w:bCs/>
        </w:rPr>
        <w:t xml:space="preserve"> that can be passed onto ratepayers</w:t>
      </w:r>
      <w:r w:rsidR="009C3F4C">
        <w:rPr>
          <w:bCs/>
        </w:rPr>
        <w:t>.</w:t>
      </w:r>
    </w:p>
    <w:p w:rsidR="009C3F4C" w:rsidRDefault="009C3F4C" w:rsidP="00A17BF8">
      <w:pPr>
        <w:spacing w:line="480" w:lineRule="auto"/>
        <w:ind w:left="720" w:hanging="720"/>
        <w:rPr>
          <w:bCs/>
        </w:rPr>
      </w:pPr>
    </w:p>
    <w:p w:rsidR="009C3F4C" w:rsidRDefault="009C3F4C" w:rsidP="009C3F4C">
      <w:pPr>
        <w:spacing w:line="480" w:lineRule="auto"/>
        <w:ind w:left="720"/>
        <w:rPr>
          <w:bCs/>
        </w:rPr>
      </w:pPr>
      <w:r>
        <w:rPr>
          <w:bCs/>
        </w:rPr>
        <w:t xml:space="preserve">Call options are the appropriate financial instrument to hedge natural gas prices because call options directly protect ratepayers from increases in natural gas prices while allowing ratepayers to benefit from decreases in prices. The Company focuses on volatility but volatility represents change in price in </w:t>
      </w:r>
      <w:r w:rsidRPr="009C3F4C">
        <w:rPr>
          <w:bCs/>
          <w:i/>
        </w:rPr>
        <w:t>both</w:t>
      </w:r>
      <w:r>
        <w:rPr>
          <w:bCs/>
        </w:rPr>
        <w:t xml:space="preserve"> directions – increases and decreases. It is the increase in prices that ratepayers need protection from not the decrease in prices. </w:t>
      </w:r>
      <w:r>
        <w:rPr>
          <w:bCs/>
        </w:rPr>
        <w:lastRenderedPageBreak/>
        <w:t xml:space="preserve">Therefore, the Company’s focus on volatility is misplaced and the focus should be on protecting ratepayers from increases in price rather than limiting volatility. Another advantage of call options is the cost of the </w:t>
      </w:r>
      <w:r w:rsidR="0095799C">
        <w:rPr>
          <w:bCs/>
        </w:rPr>
        <w:t>financial</w:t>
      </w:r>
      <w:r>
        <w:rPr>
          <w:bCs/>
        </w:rPr>
        <w:t xml:space="preserve"> instrument is </w:t>
      </w:r>
      <w:r w:rsidR="0095799C">
        <w:rPr>
          <w:bCs/>
        </w:rPr>
        <w:t xml:space="preserve">set prior to purchase of </w:t>
      </w:r>
      <w:r>
        <w:rPr>
          <w:bCs/>
        </w:rPr>
        <w:t>the option</w:t>
      </w:r>
      <w:r w:rsidR="0095799C">
        <w:rPr>
          <w:bCs/>
        </w:rPr>
        <w:t xml:space="preserve"> so ratepayers maximum exposure is known upfront regardless of the changes in natural gas prices.</w:t>
      </w:r>
      <w:r>
        <w:rPr>
          <w:bCs/>
        </w:rPr>
        <w:t xml:space="preserve"> </w:t>
      </w:r>
    </w:p>
    <w:p w:rsidR="009C3F4C" w:rsidRDefault="009C3F4C" w:rsidP="009C3F4C">
      <w:pPr>
        <w:spacing w:line="480" w:lineRule="auto"/>
        <w:ind w:left="720"/>
        <w:rPr>
          <w:bCs/>
        </w:rPr>
      </w:pPr>
    </w:p>
    <w:p w:rsidR="00357629" w:rsidRDefault="00357629" w:rsidP="009C3F4C">
      <w:pPr>
        <w:spacing w:line="480" w:lineRule="auto"/>
        <w:ind w:left="720"/>
        <w:rPr>
          <w:bCs/>
        </w:rPr>
      </w:pPr>
      <w:r>
        <w:rPr>
          <w:bCs/>
        </w:rPr>
        <w:t>The hard cap strikes the appropriate balance by allowing the Company to hedge the price of a portion of the volume of natural gas to be burned with a fixed limit on the cost to be borne by ratepayers.</w:t>
      </w:r>
    </w:p>
    <w:p w:rsidR="00357629" w:rsidRDefault="00357629" w:rsidP="00A17BF8">
      <w:pPr>
        <w:spacing w:line="480" w:lineRule="auto"/>
        <w:ind w:left="720" w:hanging="720"/>
        <w:rPr>
          <w:bCs/>
        </w:rPr>
      </w:pPr>
      <w:r>
        <w:rPr>
          <w:bCs/>
        </w:rPr>
        <w:tab/>
      </w:r>
    </w:p>
    <w:p w:rsidR="0095799C" w:rsidRDefault="0095799C" w:rsidP="00A17BF8">
      <w:pPr>
        <w:spacing w:line="480" w:lineRule="auto"/>
        <w:ind w:left="720" w:hanging="720"/>
        <w:rPr>
          <w:bCs/>
        </w:rPr>
      </w:pPr>
      <w:r>
        <w:rPr>
          <w:bCs/>
        </w:rPr>
        <w:tab/>
        <w:t>Use of only call options along with hard cap on hedging program cost strike the appropriate balance between the benefit of providing protection from increases in natural gas prices against cost that is known upfront.</w:t>
      </w:r>
    </w:p>
    <w:p w:rsidR="00A17BF8" w:rsidRDefault="00357629" w:rsidP="00A17BF8">
      <w:pPr>
        <w:spacing w:line="480" w:lineRule="auto"/>
        <w:ind w:left="720" w:hanging="720"/>
        <w:rPr>
          <w:bCs/>
        </w:rPr>
      </w:pPr>
      <w:r>
        <w:rPr>
          <w:bCs/>
        </w:rPr>
        <w:t xml:space="preserve"> </w:t>
      </w:r>
    </w:p>
    <w:p w:rsidR="007F24BC" w:rsidRDefault="007F24BC" w:rsidP="007F24BC">
      <w:pPr>
        <w:spacing w:line="480" w:lineRule="auto"/>
        <w:ind w:left="720" w:hanging="720"/>
        <w:rPr>
          <w:b/>
          <w:bCs/>
        </w:rPr>
      </w:pPr>
      <w:r>
        <w:rPr>
          <w:b/>
          <w:bCs/>
        </w:rPr>
        <w:t>Q.</w:t>
      </w:r>
      <w:r>
        <w:rPr>
          <w:b/>
          <w:bCs/>
        </w:rPr>
        <w:tab/>
        <w:t>WHAT ARE STAFF’S RECOMMENDATIONS FOR THE HEDGING PROGRAM?</w:t>
      </w:r>
    </w:p>
    <w:p w:rsidR="007F24BC" w:rsidRDefault="007F24BC" w:rsidP="007F24BC">
      <w:pPr>
        <w:spacing w:line="480" w:lineRule="auto"/>
        <w:ind w:left="720" w:hanging="720"/>
        <w:rPr>
          <w:bCs/>
        </w:rPr>
      </w:pPr>
      <w:r>
        <w:rPr>
          <w:b/>
          <w:bCs/>
        </w:rPr>
        <w:t>A.</w:t>
      </w:r>
      <w:r>
        <w:rPr>
          <w:b/>
          <w:bCs/>
        </w:rPr>
        <w:tab/>
      </w:r>
      <w:r w:rsidRPr="007F24BC">
        <w:rPr>
          <w:bCs/>
        </w:rPr>
        <w:t>For the</w:t>
      </w:r>
      <w:r>
        <w:rPr>
          <w:b/>
          <w:bCs/>
        </w:rPr>
        <w:t xml:space="preserve"> </w:t>
      </w:r>
      <w:r w:rsidRPr="007F24BC">
        <w:rPr>
          <w:bCs/>
        </w:rPr>
        <w:t xml:space="preserve">reasons </w:t>
      </w:r>
      <w:r w:rsidR="00CC0A80">
        <w:rPr>
          <w:bCs/>
        </w:rPr>
        <w:t>described</w:t>
      </w:r>
      <w:r w:rsidRPr="007F24BC">
        <w:rPr>
          <w:bCs/>
        </w:rPr>
        <w:t xml:space="preserve"> above,</w:t>
      </w:r>
      <w:r>
        <w:rPr>
          <w:b/>
          <w:bCs/>
        </w:rPr>
        <w:t xml:space="preserve"> </w:t>
      </w:r>
      <w:r w:rsidR="00CC0A80">
        <w:rPr>
          <w:bCs/>
        </w:rPr>
        <w:t>Staff</w:t>
      </w:r>
      <w:r w:rsidRPr="00191500">
        <w:rPr>
          <w:bCs/>
        </w:rPr>
        <w:t xml:space="preserve"> recommend</w:t>
      </w:r>
      <w:r w:rsidR="00CC0A80">
        <w:rPr>
          <w:bCs/>
        </w:rPr>
        <w:t>s that</w:t>
      </w:r>
      <w:r w:rsidRPr="00191500">
        <w:rPr>
          <w:bCs/>
        </w:rPr>
        <w:t xml:space="preserve"> </w:t>
      </w:r>
      <w:r>
        <w:rPr>
          <w:bCs/>
        </w:rPr>
        <w:t xml:space="preserve">the </w:t>
      </w:r>
      <w:r w:rsidR="00CC0A80">
        <w:rPr>
          <w:bCs/>
        </w:rPr>
        <w:t xml:space="preserve">current </w:t>
      </w:r>
      <w:r>
        <w:rPr>
          <w:bCs/>
        </w:rPr>
        <w:t xml:space="preserve">hedging program </w:t>
      </w:r>
      <w:r w:rsidR="00CC0A80">
        <w:rPr>
          <w:bCs/>
        </w:rPr>
        <w:t xml:space="preserve">be left in place </w:t>
      </w:r>
      <w:r>
        <w:rPr>
          <w:bCs/>
        </w:rPr>
        <w:t xml:space="preserve">in </w:t>
      </w:r>
      <w:r w:rsidR="00CC0A80">
        <w:rPr>
          <w:bCs/>
        </w:rPr>
        <w:t xml:space="preserve">its current form, and that the Commission deny the Company’s request to modify the program. </w:t>
      </w:r>
    </w:p>
    <w:p w:rsidR="00AE7169" w:rsidRDefault="00AE7169" w:rsidP="0072137F">
      <w:pPr>
        <w:spacing w:line="480" w:lineRule="auto"/>
        <w:ind w:left="720" w:hanging="720"/>
      </w:pPr>
    </w:p>
    <w:p w:rsidR="0072137F" w:rsidRDefault="00AE7169" w:rsidP="0072137F">
      <w:pPr>
        <w:spacing w:line="480" w:lineRule="auto"/>
        <w:ind w:left="720" w:hanging="720"/>
      </w:pPr>
      <w:r>
        <w:rPr>
          <w:b/>
          <w:bCs/>
        </w:rPr>
        <w:t>III.</w:t>
      </w:r>
      <w:r>
        <w:rPr>
          <w:b/>
          <w:bCs/>
        </w:rPr>
        <w:tab/>
      </w:r>
      <w:r>
        <w:rPr>
          <w:b/>
          <w:bCs/>
          <w:color w:val="000000"/>
          <w:u w:val="single"/>
        </w:rPr>
        <w:t xml:space="preserve">Interim Fuel Rider </w:t>
      </w:r>
      <w:r w:rsidR="001741F9">
        <w:t xml:space="preserve"> </w:t>
      </w:r>
    </w:p>
    <w:p w:rsidR="005073C3" w:rsidRDefault="005073C3" w:rsidP="0072137F">
      <w:pPr>
        <w:spacing w:line="480" w:lineRule="auto"/>
        <w:ind w:left="720" w:hanging="720"/>
      </w:pPr>
    </w:p>
    <w:p w:rsidR="00E27A1F" w:rsidRPr="00DF36F9" w:rsidRDefault="00E27A1F" w:rsidP="00E27A1F">
      <w:pPr>
        <w:spacing w:line="480" w:lineRule="auto"/>
        <w:ind w:left="720" w:hanging="720"/>
        <w:rPr>
          <w:b/>
          <w:bCs/>
        </w:rPr>
      </w:pPr>
      <w:r>
        <w:rPr>
          <w:b/>
          <w:bCs/>
        </w:rPr>
        <w:lastRenderedPageBreak/>
        <w:t>Q.</w:t>
      </w:r>
      <w:r>
        <w:rPr>
          <w:b/>
          <w:bCs/>
        </w:rPr>
        <w:tab/>
        <w:t xml:space="preserve">HOW DOES THE CURRENT INTERIM FUEL RIDER </w:t>
      </w:r>
      <w:r w:rsidR="0068606D">
        <w:rPr>
          <w:b/>
          <w:bCs/>
        </w:rPr>
        <w:t xml:space="preserve">(“IFR”) </w:t>
      </w:r>
      <w:r>
        <w:rPr>
          <w:b/>
          <w:bCs/>
        </w:rPr>
        <w:t xml:space="preserve">MECHANISM WORK? </w:t>
      </w:r>
    </w:p>
    <w:p w:rsidR="0040399E" w:rsidRDefault="00E27A1F" w:rsidP="00E27A1F">
      <w:pPr>
        <w:spacing w:line="480" w:lineRule="auto"/>
        <w:ind w:left="720" w:hanging="720"/>
      </w:pPr>
      <w:r w:rsidRPr="00353F19">
        <w:t>A.</w:t>
      </w:r>
      <w:r w:rsidRPr="00353F19">
        <w:tab/>
      </w:r>
      <w:r>
        <w:t xml:space="preserve">The Commission approves </w:t>
      </w:r>
      <w:r w:rsidR="00282795">
        <w:t xml:space="preserve">seasonal </w:t>
      </w:r>
      <w:r w:rsidR="0068606D">
        <w:t xml:space="preserve">winter and summer </w:t>
      </w:r>
      <w:r>
        <w:t xml:space="preserve">FCR rates in </w:t>
      </w:r>
      <w:r w:rsidR="00CC2F96">
        <w:t>FCR</w:t>
      </w:r>
      <w:r w:rsidR="00282795">
        <w:t xml:space="preserve"> </w:t>
      </w:r>
      <w:r>
        <w:t>proceeding</w:t>
      </w:r>
      <w:r w:rsidR="00CC2F96">
        <w:t>s</w:t>
      </w:r>
      <w:r>
        <w:t>. These rates remain in effect until the next FCR proceeding</w:t>
      </w:r>
      <w:r w:rsidR="0068606D">
        <w:t xml:space="preserve">. However, if the fuel balance over recovery or under recovery </w:t>
      </w:r>
      <w:r w:rsidR="00B3291C">
        <w:t>exceeds $200 million</w:t>
      </w:r>
      <w:r w:rsidR="0068606D">
        <w:t xml:space="preserve"> at any point in time </w:t>
      </w:r>
      <w:r w:rsidR="00B65E2E">
        <w:t>during</w:t>
      </w:r>
      <w:r w:rsidR="007B1EBF">
        <w:t xml:space="preserve"> </w:t>
      </w:r>
      <w:r w:rsidR="00B65E2E">
        <w:t>the FCR period this triggers an examination by the Company to re</w:t>
      </w:r>
      <w:r w:rsidR="007B1EBF">
        <w:t>-</w:t>
      </w:r>
      <w:r w:rsidR="00B65E2E">
        <w:t xml:space="preserve">project fuel cost, fuel revenues and </w:t>
      </w:r>
      <w:r w:rsidR="007B1EBF">
        <w:t>fuel balance with available information for each remaining month of the FCR period. If the Company’s re-projection indicates the fuel balance will decrease and start trending towards zero then no action is taken by the Company. However, if the re-projection indicates the fuel balance is not reverting to</w:t>
      </w:r>
      <w:r w:rsidR="00B3291C">
        <w:t>wards</w:t>
      </w:r>
      <w:r w:rsidR="007B1EBF">
        <w:t xml:space="preserve"> zero the Company proposes interim fuel adjustments to existing FCR rates to bring fuel revenues and fuel cost in balance and </w:t>
      </w:r>
      <w:r w:rsidR="00282795">
        <w:t xml:space="preserve">the </w:t>
      </w:r>
      <w:r w:rsidR="007B1EBF">
        <w:t>fuel balance towards zero. The interim fuel adjustments are limited to no more than a 15 percent increase or decrease to exi</w:t>
      </w:r>
      <w:r w:rsidR="00282795">
        <w:t>s</w:t>
      </w:r>
      <w:r w:rsidR="007B1EBF">
        <w:t xml:space="preserve">ting FCR rates approved by the Commission. Any </w:t>
      </w:r>
      <w:r w:rsidR="00B3291C">
        <w:t>interim</w:t>
      </w:r>
      <w:r w:rsidR="007B1EBF">
        <w:t xml:space="preserve"> fuel adjustment is brought before the </w:t>
      </w:r>
      <w:r w:rsidR="00B3291C">
        <w:t>Commission</w:t>
      </w:r>
      <w:r w:rsidR="007B1EBF">
        <w:t xml:space="preserve"> for approval.</w:t>
      </w:r>
    </w:p>
    <w:p w:rsidR="0040399E" w:rsidRDefault="0040399E" w:rsidP="00E27A1F">
      <w:pPr>
        <w:spacing w:line="480" w:lineRule="auto"/>
        <w:ind w:left="720" w:hanging="720"/>
      </w:pPr>
    </w:p>
    <w:p w:rsidR="0040399E" w:rsidRPr="00DF36F9" w:rsidRDefault="0040399E" w:rsidP="0040399E">
      <w:pPr>
        <w:spacing w:line="480" w:lineRule="auto"/>
        <w:ind w:left="720" w:hanging="720"/>
        <w:rPr>
          <w:b/>
          <w:bCs/>
        </w:rPr>
      </w:pPr>
      <w:r>
        <w:rPr>
          <w:b/>
          <w:bCs/>
        </w:rPr>
        <w:t>Q.</w:t>
      </w:r>
      <w:r>
        <w:rPr>
          <w:b/>
          <w:bCs/>
        </w:rPr>
        <w:tab/>
        <w:t xml:space="preserve">WHAT MODIFICATIONS </w:t>
      </w:r>
      <w:r w:rsidR="00282795">
        <w:rPr>
          <w:b/>
          <w:bCs/>
        </w:rPr>
        <w:t xml:space="preserve">TO THE </w:t>
      </w:r>
      <w:r>
        <w:rPr>
          <w:b/>
          <w:bCs/>
        </w:rPr>
        <w:t xml:space="preserve">IFR MECHANISM HAS THE COMPANY PROPOSED? </w:t>
      </w:r>
    </w:p>
    <w:p w:rsidR="00E27A1F" w:rsidRDefault="0040399E" w:rsidP="0040399E">
      <w:pPr>
        <w:spacing w:line="480" w:lineRule="auto"/>
        <w:ind w:left="720" w:hanging="720"/>
        <w:rPr>
          <w:b/>
          <w:bCs/>
        </w:rPr>
      </w:pPr>
      <w:r w:rsidRPr="00353F19">
        <w:t>A.</w:t>
      </w:r>
      <w:r w:rsidRPr="00353F19">
        <w:tab/>
      </w:r>
      <w:r>
        <w:t xml:space="preserve">The Company’s primary recommendation is to change the trigger from </w:t>
      </w:r>
      <w:r w:rsidR="00282795">
        <w:t xml:space="preserve">the current </w:t>
      </w:r>
      <w:r>
        <w:t>$20</w:t>
      </w:r>
      <w:r w:rsidR="007D71C1">
        <w:t>0</w:t>
      </w:r>
      <w:r>
        <w:t xml:space="preserve"> million to $300 million.</w:t>
      </w:r>
      <w:r w:rsidR="007B1EBF">
        <w:t xml:space="preserve"> </w:t>
      </w:r>
    </w:p>
    <w:p w:rsidR="00E27A1F" w:rsidRDefault="00E27A1F" w:rsidP="00A83098">
      <w:pPr>
        <w:spacing w:line="480" w:lineRule="auto"/>
        <w:ind w:left="720" w:hanging="720"/>
        <w:rPr>
          <w:b/>
          <w:bCs/>
        </w:rPr>
      </w:pPr>
    </w:p>
    <w:p w:rsidR="00A83098" w:rsidRPr="00DF36F9" w:rsidRDefault="00A83098" w:rsidP="00A83098">
      <w:pPr>
        <w:spacing w:line="480" w:lineRule="auto"/>
        <w:ind w:left="720" w:hanging="720"/>
        <w:rPr>
          <w:b/>
          <w:bCs/>
        </w:rPr>
      </w:pPr>
      <w:r>
        <w:rPr>
          <w:b/>
          <w:bCs/>
        </w:rPr>
        <w:lastRenderedPageBreak/>
        <w:t>Q.</w:t>
      </w:r>
      <w:r>
        <w:rPr>
          <w:b/>
          <w:bCs/>
        </w:rPr>
        <w:tab/>
      </w:r>
      <w:r w:rsidR="009B42E3">
        <w:rPr>
          <w:b/>
          <w:bCs/>
        </w:rPr>
        <w:t>WHAT MODIFICATIONS DOES STAFF RECOMMEND FOR THE INTERIM FUEL RIDER MECHANISM</w:t>
      </w:r>
      <w:r w:rsidR="00BD4363">
        <w:rPr>
          <w:b/>
          <w:bCs/>
        </w:rPr>
        <w:t>?</w:t>
      </w:r>
      <w:r>
        <w:rPr>
          <w:b/>
          <w:bCs/>
        </w:rPr>
        <w:t xml:space="preserve"> </w:t>
      </w:r>
    </w:p>
    <w:p w:rsidR="00B32913" w:rsidRDefault="00A83098" w:rsidP="00CE1343">
      <w:pPr>
        <w:spacing w:line="480" w:lineRule="auto"/>
        <w:ind w:left="720" w:hanging="720"/>
      </w:pPr>
      <w:r w:rsidRPr="00353F19">
        <w:t>A.</w:t>
      </w:r>
      <w:r w:rsidRPr="00353F19">
        <w:tab/>
      </w:r>
      <w:r w:rsidR="00B32913">
        <w:t>Staff recommends eliminating</w:t>
      </w:r>
      <w:r w:rsidR="001A6625">
        <w:t xml:space="preserve"> </w:t>
      </w:r>
      <w:r w:rsidR="005073C3">
        <w:t xml:space="preserve">use of </w:t>
      </w:r>
      <w:r w:rsidR="001A6625">
        <w:t xml:space="preserve">the size of the fuel balance </w:t>
      </w:r>
      <w:r w:rsidR="00B32913">
        <w:t xml:space="preserve">during the FCR period </w:t>
      </w:r>
      <w:r w:rsidR="001A6625">
        <w:t>as</w:t>
      </w:r>
      <w:r w:rsidR="00282795">
        <w:t xml:space="preserve"> the</w:t>
      </w:r>
      <w:r w:rsidR="001A6625">
        <w:t xml:space="preserve"> trigger for the IFR</w:t>
      </w:r>
      <w:r w:rsidR="003A45D4">
        <w:t xml:space="preserve"> mechanism</w:t>
      </w:r>
      <w:r w:rsidR="001A6625">
        <w:t xml:space="preserve">. </w:t>
      </w:r>
      <w:r w:rsidR="00B32913">
        <w:t>Specifically</w:t>
      </w:r>
      <w:r w:rsidR="003A45D4">
        <w:t>,</w:t>
      </w:r>
      <w:r w:rsidR="00B32913">
        <w:t xml:space="preserve"> Staff recommend</w:t>
      </w:r>
      <w:r w:rsidR="005073C3">
        <w:t>s</w:t>
      </w:r>
      <w:r w:rsidR="00B32913">
        <w:t xml:space="preserve"> eliminating the existing method of using $200 million over recovered or under recovered fuel balance during the FCR period as </w:t>
      </w:r>
      <w:r w:rsidR="005073C3">
        <w:t xml:space="preserve">the </w:t>
      </w:r>
      <w:r w:rsidR="00B32913">
        <w:t>trigger to implementing IFR adjustments to existing FCR rates.</w:t>
      </w:r>
    </w:p>
    <w:p w:rsidR="00B32913" w:rsidRDefault="00B32913" w:rsidP="00CE1343">
      <w:pPr>
        <w:spacing w:line="480" w:lineRule="auto"/>
        <w:ind w:left="720" w:hanging="720"/>
      </w:pPr>
    </w:p>
    <w:p w:rsidR="00503B87" w:rsidRDefault="00B32913" w:rsidP="00B32913">
      <w:pPr>
        <w:spacing w:line="480" w:lineRule="auto"/>
        <w:ind w:left="720"/>
      </w:pPr>
      <w:r>
        <w:t xml:space="preserve">In its place </w:t>
      </w:r>
      <w:r w:rsidR="00701C20">
        <w:t xml:space="preserve">Staff recommends </w:t>
      </w:r>
      <w:r w:rsidR="005073C3">
        <w:t xml:space="preserve">that the IFR be modified to require </w:t>
      </w:r>
      <w:r w:rsidR="00701C20">
        <w:t xml:space="preserve">the Company </w:t>
      </w:r>
      <w:r w:rsidR="005073C3">
        <w:t xml:space="preserve">to </w:t>
      </w:r>
      <w:r w:rsidR="00701C20">
        <w:t xml:space="preserve">update </w:t>
      </w:r>
      <w:r w:rsidR="005073C3">
        <w:t xml:space="preserve">its </w:t>
      </w:r>
      <w:r w:rsidR="00701C20">
        <w:t>projected FCR cost (or revenue requirement)</w:t>
      </w:r>
      <w:r w:rsidR="005073C3">
        <w:t xml:space="preserve"> and</w:t>
      </w:r>
      <w:r w:rsidR="00701C20">
        <w:t xml:space="preserve"> FCR revenue collections</w:t>
      </w:r>
      <w:r w:rsidR="00490EAA" w:rsidRPr="00490EAA">
        <w:t xml:space="preserve"> </w:t>
      </w:r>
      <w:r>
        <w:t xml:space="preserve">with existing rates </w:t>
      </w:r>
      <w:r w:rsidR="00490EAA">
        <w:t xml:space="preserve">and </w:t>
      </w:r>
      <w:r w:rsidR="000C6872">
        <w:t xml:space="preserve">the monthly </w:t>
      </w:r>
      <w:r w:rsidR="00490EAA">
        <w:t>fuel balance for the remainder of FCR-24 period</w:t>
      </w:r>
      <w:r w:rsidR="00701C20">
        <w:t xml:space="preserve"> </w:t>
      </w:r>
      <w:r w:rsidR="00C640E5">
        <w:t xml:space="preserve">once </w:t>
      </w:r>
      <w:r w:rsidR="00701C20">
        <w:t xml:space="preserve">a year </w:t>
      </w:r>
      <w:r w:rsidR="003A45D4">
        <w:t xml:space="preserve">just </w:t>
      </w:r>
      <w:r w:rsidR="00490EAA">
        <w:t>prior to the</w:t>
      </w:r>
      <w:r w:rsidR="00701C20">
        <w:t xml:space="preserve"> switch </w:t>
      </w:r>
      <w:r w:rsidR="00C640E5">
        <w:t xml:space="preserve">from summer to winter FCR rates. </w:t>
      </w:r>
      <w:r w:rsidR="00701C20">
        <w:t xml:space="preserve">This update should </w:t>
      </w:r>
      <w:r w:rsidR="00C640E5">
        <w:t>be filed by September 1</w:t>
      </w:r>
      <w:r w:rsidR="0040399E">
        <w:t xml:space="preserve">. The Company would perform a PROSYM run with at least updated gas prices, coal prices, loads and generating unit outages and any other </w:t>
      </w:r>
      <w:r w:rsidR="000C6872">
        <w:t>available</w:t>
      </w:r>
      <w:r w:rsidR="0040399E">
        <w:t xml:space="preserve"> information that has been revised </w:t>
      </w:r>
      <w:r w:rsidR="000C6872">
        <w:t>since the Company’s FCR-24 filing in this proceeding</w:t>
      </w:r>
      <w:r w:rsidR="0040399E">
        <w:t xml:space="preserve">. </w:t>
      </w:r>
      <w:r w:rsidR="00CE1343">
        <w:t xml:space="preserve">If the projected fuel balance </w:t>
      </w:r>
      <w:r w:rsidR="00CE1343" w:rsidRPr="00B32913">
        <w:rPr>
          <w:i/>
        </w:rPr>
        <w:t>at the end of the FCR-24 period</w:t>
      </w:r>
      <w:r w:rsidR="00CE1343">
        <w:t xml:space="preserve"> is within a </w:t>
      </w:r>
      <w:r w:rsidR="00E27A1F">
        <w:t xml:space="preserve">predetermined </w:t>
      </w:r>
      <w:r w:rsidR="00CE1343">
        <w:t xml:space="preserve">range of $20 million over collected to $20 million under collected then existing </w:t>
      </w:r>
      <w:r w:rsidR="00C71465">
        <w:t xml:space="preserve">fuel </w:t>
      </w:r>
      <w:r w:rsidR="00CE1343">
        <w:t>rate</w:t>
      </w:r>
      <w:r w:rsidR="00C71465">
        <w:t>s</w:t>
      </w:r>
      <w:r w:rsidR="00CE1343">
        <w:t xml:space="preserve"> would continue. However, if  the projected fuel balance at the end of the FCR-24 </w:t>
      </w:r>
      <w:r w:rsidR="000C6872">
        <w:t xml:space="preserve">period </w:t>
      </w:r>
      <w:r w:rsidR="00CE1343">
        <w:t xml:space="preserve">is not within the plus or minus $20 million range the Company would need to calculate </w:t>
      </w:r>
      <w:r w:rsidR="000C6872">
        <w:t xml:space="preserve">interim fuel rates to adjust existing </w:t>
      </w:r>
      <w:r w:rsidR="00CE1343">
        <w:t xml:space="preserve">revised </w:t>
      </w:r>
      <w:r w:rsidR="00F12048">
        <w:t xml:space="preserve">FCR </w:t>
      </w:r>
      <w:r w:rsidR="00CE1343">
        <w:t xml:space="preserve">rates necessary </w:t>
      </w:r>
      <w:r w:rsidR="00282795">
        <w:t xml:space="preserve">to </w:t>
      </w:r>
      <w:r w:rsidR="00CE1343">
        <w:t xml:space="preserve">bring the fuel balance within the </w:t>
      </w:r>
      <w:r w:rsidR="000C6872">
        <w:t xml:space="preserve">plus or minus $20 million </w:t>
      </w:r>
      <w:r w:rsidR="00CE1343">
        <w:t>range.</w:t>
      </w:r>
    </w:p>
    <w:p w:rsidR="00503B87" w:rsidRDefault="00503B87" w:rsidP="00CE1343">
      <w:pPr>
        <w:spacing w:line="480" w:lineRule="auto"/>
        <w:ind w:left="720" w:hanging="720"/>
      </w:pPr>
    </w:p>
    <w:p w:rsidR="00C71465" w:rsidRPr="00DF36F9" w:rsidRDefault="00C71465" w:rsidP="00C71465">
      <w:pPr>
        <w:spacing w:line="480" w:lineRule="auto"/>
        <w:ind w:left="720" w:hanging="720"/>
        <w:rPr>
          <w:b/>
          <w:bCs/>
        </w:rPr>
      </w:pPr>
      <w:r>
        <w:lastRenderedPageBreak/>
        <w:t xml:space="preserve"> </w:t>
      </w:r>
      <w:r>
        <w:rPr>
          <w:b/>
          <w:bCs/>
        </w:rPr>
        <w:t>Q.</w:t>
      </w:r>
      <w:r>
        <w:rPr>
          <w:b/>
          <w:bCs/>
        </w:rPr>
        <w:tab/>
        <w:t xml:space="preserve">WHAT LIMITS DOES STAFF PROPOSE FOR IFR </w:t>
      </w:r>
      <w:r w:rsidR="000C6872">
        <w:rPr>
          <w:b/>
          <w:bCs/>
        </w:rPr>
        <w:t xml:space="preserve">ADJUSTMENT </w:t>
      </w:r>
      <w:r>
        <w:rPr>
          <w:b/>
          <w:bCs/>
        </w:rPr>
        <w:t xml:space="preserve">APPLIED TO FCR RATES? </w:t>
      </w:r>
    </w:p>
    <w:p w:rsidR="003A3978" w:rsidRDefault="00C71465" w:rsidP="00C71465">
      <w:pPr>
        <w:spacing w:line="480" w:lineRule="auto"/>
        <w:ind w:left="720" w:hanging="720"/>
      </w:pPr>
      <w:r w:rsidRPr="00353F19">
        <w:t>A.</w:t>
      </w:r>
      <w:r w:rsidRPr="00353F19">
        <w:tab/>
      </w:r>
      <w:r w:rsidR="000807CD">
        <w:t>Staff recommends that the current</w:t>
      </w:r>
      <w:r>
        <w:t xml:space="preserve"> limits </w:t>
      </w:r>
      <w:r w:rsidR="000807CD">
        <w:t>be retained</w:t>
      </w:r>
      <w:r>
        <w:t xml:space="preserve">. </w:t>
      </w:r>
      <w:r w:rsidR="003A45D4">
        <w:t>Any revision to</w:t>
      </w:r>
      <w:r>
        <w:t xml:space="preserve"> FCR rates </w:t>
      </w:r>
      <w:r w:rsidR="003A45D4">
        <w:t xml:space="preserve">from applying IFR adjustment would result in revised fuel rates that would not </w:t>
      </w:r>
      <w:r>
        <w:t xml:space="preserve">deviate more than 15 percent in either direction </w:t>
      </w:r>
      <w:r w:rsidR="003A45D4">
        <w:t xml:space="preserve">from FCR rates approved by the Commission in this docket </w:t>
      </w:r>
      <w:r>
        <w:t xml:space="preserve">until the next </w:t>
      </w:r>
      <w:r w:rsidR="00AE7169">
        <w:t xml:space="preserve">FCR </w:t>
      </w:r>
      <w:r>
        <w:t xml:space="preserve">rate case. This would put a band around </w:t>
      </w:r>
      <w:r w:rsidR="00AE7169">
        <w:t>FCR rates which could not be breached during current FCR period.</w:t>
      </w:r>
      <w:r>
        <w:t xml:space="preserve"> </w:t>
      </w:r>
      <w:r w:rsidR="00AE7169">
        <w:t>For example</w:t>
      </w:r>
      <w:r w:rsidR="003A3978">
        <w:t>,</w:t>
      </w:r>
      <w:r w:rsidR="00AE7169">
        <w:t xml:space="preserve"> assume the Commission approves a FCR rate of 3.0 cents </w:t>
      </w:r>
      <w:r w:rsidR="003A45D4">
        <w:t xml:space="preserve">per kWh </w:t>
      </w:r>
      <w:r w:rsidR="00AE7169">
        <w:t xml:space="preserve">for </w:t>
      </w:r>
      <w:r w:rsidR="000C6872">
        <w:t>winter</w:t>
      </w:r>
      <w:r w:rsidR="00AE7169">
        <w:t xml:space="preserve">. Any IFR application to the </w:t>
      </w:r>
      <w:r w:rsidR="000C6872">
        <w:t xml:space="preserve">winter </w:t>
      </w:r>
      <w:r w:rsidR="00AE7169">
        <w:t xml:space="preserve">rate would be limited so that the revise </w:t>
      </w:r>
      <w:r w:rsidR="000C6872">
        <w:t xml:space="preserve">winter </w:t>
      </w:r>
      <w:r w:rsidR="00AE7169">
        <w:t xml:space="preserve">rate would always fall with </w:t>
      </w:r>
      <w:r w:rsidR="003A3978">
        <w:t>a</w:t>
      </w:r>
      <w:r w:rsidR="00AE7169">
        <w:t xml:space="preserve"> range of 2.55 cents per kWh to 3.45 cents per kWh.</w:t>
      </w:r>
    </w:p>
    <w:p w:rsidR="009E591E" w:rsidRDefault="009E591E" w:rsidP="00C71465">
      <w:pPr>
        <w:spacing w:line="480" w:lineRule="auto"/>
        <w:ind w:left="720" w:hanging="720"/>
      </w:pPr>
    </w:p>
    <w:p w:rsidR="009E591E" w:rsidRPr="00DF36F9" w:rsidRDefault="009E591E" w:rsidP="009E591E">
      <w:pPr>
        <w:spacing w:line="480" w:lineRule="auto"/>
        <w:ind w:left="720" w:hanging="720"/>
        <w:rPr>
          <w:b/>
          <w:bCs/>
        </w:rPr>
      </w:pPr>
      <w:r>
        <w:rPr>
          <w:b/>
          <w:bCs/>
        </w:rPr>
        <w:t>Q.</w:t>
      </w:r>
      <w:r>
        <w:rPr>
          <w:b/>
          <w:bCs/>
        </w:rPr>
        <w:tab/>
        <w:t xml:space="preserve">WHAT PROCESS DOES STAFF PROPOSE FOR IMPLEMENTING THE MODIFIED IFR? </w:t>
      </w:r>
    </w:p>
    <w:p w:rsidR="009E591E" w:rsidRDefault="009E591E" w:rsidP="009E591E">
      <w:pPr>
        <w:spacing w:line="480" w:lineRule="auto"/>
        <w:ind w:left="720" w:hanging="720"/>
      </w:pPr>
      <w:r w:rsidRPr="00353F19">
        <w:t>A.</w:t>
      </w:r>
      <w:r w:rsidRPr="00353F19">
        <w:tab/>
      </w:r>
      <w:r>
        <w:t xml:space="preserve">If the Company’s </w:t>
      </w:r>
      <w:r w:rsidR="00785647">
        <w:t xml:space="preserve">re-projection of FCR revenues and costs </w:t>
      </w:r>
      <w:r>
        <w:t>indicates interim fuel rates are necessary to bring the fuel balance within a range of $20 million under recovery to $20 over recovery at the end of the FCR period then the IFR adjustment would be present</w:t>
      </w:r>
      <w:r w:rsidR="007D71C1">
        <w:t>ed</w:t>
      </w:r>
      <w:r>
        <w:t xml:space="preserve"> to the Commission at Energy Committee for its consideration.</w:t>
      </w:r>
    </w:p>
    <w:p w:rsidR="003A3978" w:rsidRDefault="003A3978" w:rsidP="00C71465">
      <w:pPr>
        <w:spacing w:line="480" w:lineRule="auto"/>
        <w:ind w:left="720" w:hanging="720"/>
      </w:pPr>
    </w:p>
    <w:p w:rsidR="003A3978" w:rsidRPr="00DF36F9" w:rsidRDefault="003A3978" w:rsidP="003A3978">
      <w:pPr>
        <w:spacing w:line="480" w:lineRule="auto"/>
        <w:ind w:left="720" w:hanging="720"/>
        <w:rPr>
          <w:b/>
          <w:bCs/>
        </w:rPr>
      </w:pPr>
      <w:r>
        <w:rPr>
          <w:b/>
          <w:bCs/>
        </w:rPr>
        <w:t>Q.</w:t>
      </w:r>
      <w:r>
        <w:rPr>
          <w:b/>
          <w:bCs/>
        </w:rPr>
        <w:tab/>
        <w:t>WHAT ARE THE ADVANTAGES OF THE IFR MODIFICATIONS</w:t>
      </w:r>
      <w:r w:rsidR="00490EAA">
        <w:rPr>
          <w:b/>
          <w:bCs/>
        </w:rPr>
        <w:t xml:space="preserve"> PROPOSED BY STAFF</w:t>
      </w:r>
      <w:r>
        <w:rPr>
          <w:b/>
          <w:bCs/>
        </w:rPr>
        <w:t xml:space="preserve">? </w:t>
      </w:r>
    </w:p>
    <w:p w:rsidR="00503B87" w:rsidRDefault="003A3978" w:rsidP="003A3978">
      <w:pPr>
        <w:spacing w:line="480" w:lineRule="auto"/>
        <w:ind w:left="720" w:hanging="720"/>
      </w:pPr>
      <w:r w:rsidRPr="00353F19">
        <w:t>A.</w:t>
      </w:r>
      <w:r w:rsidRPr="00353F19">
        <w:tab/>
      </w:r>
      <w:r w:rsidR="00490EAA">
        <w:t xml:space="preserve">First, </w:t>
      </w:r>
      <w:r w:rsidR="000C6872">
        <w:t>an update</w:t>
      </w:r>
      <w:r>
        <w:t xml:space="preserve"> on fuel cost</w:t>
      </w:r>
      <w:r w:rsidR="00490EAA">
        <w:t>,</w:t>
      </w:r>
      <w:r>
        <w:t xml:space="preserve"> </w:t>
      </w:r>
      <w:r w:rsidR="00490EAA">
        <w:t>fuel</w:t>
      </w:r>
      <w:r>
        <w:t xml:space="preserve"> revenues and fuel balance for the FCR period</w:t>
      </w:r>
      <w:r w:rsidR="00490EAA">
        <w:t xml:space="preserve"> provide Staff and Commission more timely and accurate information on the outlook for the fuel </w:t>
      </w:r>
      <w:r w:rsidR="00490EAA">
        <w:lastRenderedPageBreak/>
        <w:t>balance</w:t>
      </w:r>
      <w:r w:rsidR="007B6979">
        <w:t xml:space="preserve"> on a regular basis</w:t>
      </w:r>
      <w:r>
        <w:t xml:space="preserve">. </w:t>
      </w:r>
      <w:r w:rsidR="00490EAA">
        <w:t xml:space="preserve">Second, if it is necessary to change fuel rates it would be simpler to make the change when rates are already being changed </w:t>
      </w:r>
      <w:r w:rsidR="000C6872">
        <w:t>from summer to winter FCR rates</w:t>
      </w:r>
      <w:r w:rsidR="00490EAA">
        <w:t>.</w:t>
      </w:r>
      <w:r w:rsidR="00AE7169">
        <w:t xml:space="preserve"> </w:t>
      </w:r>
    </w:p>
    <w:p w:rsidR="00503B87" w:rsidRDefault="00503B87" w:rsidP="00CE1343">
      <w:pPr>
        <w:spacing w:line="480" w:lineRule="auto"/>
        <w:ind w:left="720" w:hanging="720"/>
      </w:pPr>
    </w:p>
    <w:p w:rsidR="00A83098" w:rsidRDefault="00CE1343" w:rsidP="00CE1343">
      <w:pPr>
        <w:spacing w:line="480" w:lineRule="auto"/>
        <w:ind w:left="720" w:hanging="720"/>
      </w:pPr>
      <w:r>
        <w:t xml:space="preserve">   </w:t>
      </w:r>
      <w:r w:rsidR="003A3978">
        <w:rPr>
          <w:b/>
          <w:bCs/>
        </w:rPr>
        <w:t>IV.</w:t>
      </w:r>
      <w:r w:rsidR="003A3978">
        <w:rPr>
          <w:b/>
          <w:bCs/>
        </w:rPr>
        <w:tab/>
      </w:r>
      <w:r w:rsidR="003A3978">
        <w:rPr>
          <w:b/>
          <w:bCs/>
          <w:color w:val="000000"/>
          <w:u w:val="single"/>
        </w:rPr>
        <w:t>Filing Date for Next FCR Case</w:t>
      </w:r>
    </w:p>
    <w:p w:rsidR="00A83098" w:rsidRDefault="00A83098" w:rsidP="00A83098">
      <w:pPr>
        <w:spacing w:line="480" w:lineRule="auto"/>
        <w:ind w:left="720" w:hanging="720"/>
      </w:pPr>
    </w:p>
    <w:p w:rsidR="00E27A1F" w:rsidRPr="00DF36F9" w:rsidRDefault="00E27A1F" w:rsidP="00E27A1F">
      <w:pPr>
        <w:spacing w:line="480" w:lineRule="auto"/>
        <w:ind w:left="720" w:hanging="720"/>
        <w:rPr>
          <w:b/>
          <w:bCs/>
        </w:rPr>
      </w:pPr>
      <w:r>
        <w:rPr>
          <w:b/>
          <w:bCs/>
        </w:rPr>
        <w:t>Q.</w:t>
      </w:r>
      <w:r>
        <w:rPr>
          <w:b/>
          <w:bCs/>
        </w:rPr>
        <w:tab/>
        <w:t xml:space="preserve">WHAT </w:t>
      </w:r>
      <w:r w:rsidR="007D71C1">
        <w:rPr>
          <w:b/>
          <w:bCs/>
        </w:rPr>
        <w:t xml:space="preserve">IS </w:t>
      </w:r>
      <w:r>
        <w:rPr>
          <w:b/>
          <w:bCs/>
        </w:rPr>
        <w:t xml:space="preserve">THE COMPANY’S FILING DATE RECOMMENDATION FOR THE NEXT FUEL COST RECOVERY CASE? </w:t>
      </w:r>
    </w:p>
    <w:p w:rsidR="00E27A1F" w:rsidRDefault="00E27A1F" w:rsidP="00E27A1F">
      <w:pPr>
        <w:spacing w:line="480" w:lineRule="auto"/>
        <w:ind w:left="720" w:hanging="720"/>
      </w:pPr>
      <w:r w:rsidRPr="00353F19">
        <w:t>A.</w:t>
      </w:r>
      <w:r w:rsidRPr="00353F19">
        <w:tab/>
      </w:r>
      <w:r>
        <w:t xml:space="preserve">The Company proposed that no date be set </w:t>
      </w:r>
      <w:r w:rsidR="0068606D">
        <w:t>and that the fuel balance would be monitored to determined when to have the next FCR proceeding. The Company provided no set criteria for determining when to hold the next fuel case.</w:t>
      </w:r>
    </w:p>
    <w:p w:rsidR="0068606D" w:rsidRDefault="0068606D" w:rsidP="00E27A1F">
      <w:pPr>
        <w:spacing w:line="480" w:lineRule="auto"/>
        <w:ind w:left="720" w:hanging="720"/>
      </w:pPr>
    </w:p>
    <w:p w:rsidR="0068606D" w:rsidRPr="00DF36F9" w:rsidRDefault="0068606D" w:rsidP="0068606D">
      <w:pPr>
        <w:spacing w:line="480" w:lineRule="auto"/>
        <w:ind w:left="720" w:hanging="720"/>
        <w:rPr>
          <w:b/>
          <w:bCs/>
        </w:rPr>
      </w:pPr>
      <w:r>
        <w:rPr>
          <w:b/>
          <w:bCs/>
        </w:rPr>
        <w:t>Q.</w:t>
      </w:r>
      <w:r>
        <w:rPr>
          <w:b/>
          <w:bCs/>
        </w:rPr>
        <w:tab/>
        <w:t xml:space="preserve">DOES STAFF AGREE WITH THE COMPANY’S PROPOSAL? </w:t>
      </w:r>
    </w:p>
    <w:p w:rsidR="0068606D" w:rsidRDefault="0068606D" w:rsidP="0068606D">
      <w:pPr>
        <w:spacing w:line="480" w:lineRule="auto"/>
        <w:ind w:left="720" w:hanging="720"/>
        <w:rPr>
          <w:b/>
          <w:bCs/>
        </w:rPr>
      </w:pPr>
      <w:r w:rsidRPr="00353F19">
        <w:t>A.</w:t>
      </w:r>
      <w:r w:rsidRPr="00353F19">
        <w:tab/>
      </w:r>
      <w:r>
        <w:t>No.</w:t>
      </w:r>
    </w:p>
    <w:p w:rsidR="00E27A1F" w:rsidRDefault="00E27A1F" w:rsidP="00A83098">
      <w:pPr>
        <w:spacing w:line="480" w:lineRule="auto"/>
        <w:ind w:left="720" w:hanging="720"/>
        <w:rPr>
          <w:b/>
          <w:bCs/>
        </w:rPr>
      </w:pPr>
    </w:p>
    <w:p w:rsidR="00A83098" w:rsidRPr="00DF36F9" w:rsidRDefault="00A83098" w:rsidP="00A83098">
      <w:pPr>
        <w:spacing w:line="480" w:lineRule="auto"/>
        <w:ind w:left="720" w:hanging="720"/>
        <w:rPr>
          <w:b/>
          <w:bCs/>
        </w:rPr>
      </w:pPr>
      <w:r>
        <w:rPr>
          <w:b/>
          <w:bCs/>
        </w:rPr>
        <w:t>Q.</w:t>
      </w:r>
      <w:r>
        <w:rPr>
          <w:b/>
          <w:bCs/>
        </w:rPr>
        <w:tab/>
      </w:r>
      <w:r w:rsidR="007B6238">
        <w:rPr>
          <w:b/>
          <w:bCs/>
        </w:rPr>
        <w:t>WHAT IS STAFF’S FILING DATE RECOMMENDATION FOR THE NEXT FUEL COST RECOVERY CASE</w:t>
      </w:r>
      <w:r w:rsidR="00F8785D">
        <w:rPr>
          <w:b/>
          <w:bCs/>
        </w:rPr>
        <w:t>?</w:t>
      </w:r>
      <w:r>
        <w:rPr>
          <w:b/>
          <w:bCs/>
        </w:rPr>
        <w:t xml:space="preserve"> </w:t>
      </w:r>
    </w:p>
    <w:p w:rsidR="00A83098" w:rsidRDefault="00A83098" w:rsidP="00A83098">
      <w:pPr>
        <w:spacing w:line="480" w:lineRule="auto"/>
        <w:ind w:left="720" w:hanging="720"/>
      </w:pPr>
      <w:r w:rsidRPr="00353F19">
        <w:t>A.</w:t>
      </w:r>
      <w:r w:rsidRPr="00353F19">
        <w:tab/>
      </w:r>
      <w:r w:rsidR="003F6B03">
        <w:t xml:space="preserve">Staff’s </w:t>
      </w:r>
      <w:r w:rsidR="007B6238">
        <w:t xml:space="preserve">recommends the Company file either </w:t>
      </w:r>
      <w:r w:rsidR="00CC2F96">
        <w:t xml:space="preserve">September </w:t>
      </w:r>
      <w:r w:rsidR="007B6238">
        <w:t xml:space="preserve">2016 with revised fuel rates going into effect in January 2017 or </w:t>
      </w:r>
      <w:r w:rsidR="00CC2F96">
        <w:t xml:space="preserve">February </w:t>
      </w:r>
      <w:r w:rsidR="007B6238">
        <w:t xml:space="preserve">2017 with revised fuel rates going into effect in June 2017. </w:t>
      </w:r>
      <w:r w:rsidR="00B2118A">
        <w:t>A</w:t>
      </w:r>
      <w:r w:rsidR="007B6238">
        <w:t xml:space="preserve"> primary responsibility</w:t>
      </w:r>
      <w:r w:rsidR="00B2118A">
        <w:t xml:space="preserve"> of Staff</w:t>
      </w:r>
      <w:r w:rsidR="007B6238">
        <w:t xml:space="preserve"> is to review fuel cost incurred by the Company during the </w:t>
      </w:r>
      <w:r w:rsidR="00CD5210">
        <w:t xml:space="preserve">preceding </w:t>
      </w:r>
      <w:r w:rsidR="007B6238">
        <w:t xml:space="preserve">FCR period and determine whether these </w:t>
      </w:r>
      <w:r w:rsidR="00B2118A">
        <w:t xml:space="preserve">incurred fuel cost should be borne by ratepayers. These costs are significant as the Company has </w:t>
      </w:r>
      <w:r w:rsidR="00B2118A">
        <w:lastRenderedPageBreak/>
        <w:t xml:space="preserve">projected $2.5 billion in fuel cost in 2016. Staff has </w:t>
      </w:r>
      <w:r w:rsidR="009B42E3">
        <w:t xml:space="preserve">a </w:t>
      </w:r>
      <w:r w:rsidR="00B2118A">
        <w:t xml:space="preserve">very limited period of time to review fuel cost incurred by the Company and therefore recommends only 12 to 18 months between Company FCR case filings so as to limit the total </w:t>
      </w:r>
      <w:r w:rsidR="00621538">
        <w:t xml:space="preserve">fuel </w:t>
      </w:r>
      <w:r w:rsidR="00B2118A">
        <w:t>cost to be reviewed</w:t>
      </w:r>
      <w:r w:rsidR="003F6B03">
        <w:t>.</w:t>
      </w:r>
    </w:p>
    <w:p w:rsidR="00DA5DE4" w:rsidRDefault="00DA5DE4" w:rsidP="00A83098">
      <w:pPr>
        <w:spacing w:line="480" w:lineRule="auto"/>
        <w:ind w:left="720" w:hanging="720"/>
      </w:pPr>
    </w:p>
    <w:p w:rsidR="00DA5DE4" w:rsidRDefault="00DA5DE4" w:rsidP="00DA5DE4">
      <w:pPr>
        <w:spacing w:line="480" w:lineRule="auto"/>
        <w:ind w:left="720" w:hanging="720"/>
      </w:pPr>
      <w:r>
        <w:rPr>
          <w:b/>
          <w:bCs/>
        </w:rPr>
        <w:t>V.</w:t>
      </w:r>
      <w:r>
        <w:rPr>
          <w:b/>
          <w:bCs/>
        </w:rPr>
        <w:tab/>
      </w:r>
      <w:r>
        <w:rPr>
          <w:b/>
          <w:bCs/>
          <w:color w:val="000000"/>
          <w:u w:val="single"/>
        </w:rPr>
        <w:t>Pollution Abatement Commodity Cost</w:t>
      </w:r>
    </w:p>
    <w:p w:rsidR="00DA5DE4" w:rsidRDefault="00DA5DE4" w:rsidP="00DA5DE4">
      <w:pPr>
        <w:spacing w:line="480" w:lineRule="auto"/>
        <w:ind w:left="720" w:hanging="720"/>
      </w:pPr>
    </w:p>
    <w:p w:rsidR="00DA5DE4" w:rsidRPr="00DF36F9" w:rsidRDefault="00DA5DE4" w:rsidP="00DA5DE4">
      <w:pPr>
        <w:spacing w:line="480" w:lineRule="auto"/>
        <w:ind w:left="720" w:hanging="720"/>
        <w:rPr>
          <w:b/>
          <w:bCs/>
        </w:rPr>
      </w:pPr>
      <w:r>
        <w:rPr>
          <w:b/>
          <w:bCs/>
        </w:rPr>
        <w:t>Q.</w:t>
      </w:r>
      <w:r>
        <w:rPr>
          <w:b/>
          <w:bCs/>
        </w:rPr>
        <w:tab/>
      </w:r>
      <w:r w:rsidR="00C724BD">
        <w:rPr>
          <w:b/>
          <w:bCs/>
        </w:rPr>
        <w:t>WHAT IS STAFF’S RECOMMENDATION REGARDING</w:t>
      </w:r>
      <w:r w:rsidR="00784944">
        <w:rPr>
          <w:b/>
          <w:bCs/>
        </w:rPr>
        <w:t xml:space="preserve"> CHANGES TO</w:t>
      </w:r>
      <w:r>
        <w:rPr>
          <w:b/>
          <w:bCs/>
        </w:rPr>
        <w:t xml:space="preserve"> COSTS </w:t>
      </w:r>
      <w:r w:rsidR="00784944">
        <w:rPr>
          <w:b/>
          <w:bCs/>
        </w:rPr>
        <w:t xml:space="preserve">THAT </w:t>
      </w:r>
      <w:r>
        <w:rPr>
          <w:b/>
          <w:bCs/>
        </w:rPr>
        <w:t xml:space="preserve">ARE ELIGIBLE FOR RECOVERY UNDER FCR RATES? </w:t>
      </w:r>
    </w:p>
    <w:p w:rsidR="00DA5DE4" w:rsidRDefault="00DA5DE4" w:rsidP="00DA5DE4">
      <w:pPr>
        <w:spacing w:line="480" w:lineRule="auto"/>
        <w:ind w:left="720" w:hanging="720"/>
      </w:pPr>
      <w:r w:rsidRPr="00353F19">
        <w:t>A.</w:t>
      </w:r>
      <w:r w:rsidRPr="00353F19">
        <w:tab/>
      </w:r>
      <w:r>
        <w:t xml:space="preserve">Staff is recommending the cost for commodities used in pollution abatement be recovered under FCR rates. Specifically, Staff recommends the cost for limestone, hydrated lime, ammonia and activated carbon </w:t>
      </w:r>
      <w:r w:rsidR="00A00FD4">
        <w:t>is</w:t>
      </w:r>
      <w:r>
        <w:t xml:space="preserve"> eligible for recovery under FCR rates.</w:t>
      </w:r>
      <w:r w:rsidR="00A00FD4">
        <w:t xml:space="preserve"> The eligible cost i</w:t>
      </w:r>
      <w:r>
        <w:t xml:space="preserve">s only for the commodity itself and </w:t>
      </w:r>
      <w:r w:rsidR="00A00FD4">
        <w:t xml:space="preserve">any </w:t>
      </w:r>
      <w:r>
        <w:t>transportation</w:t>
      </w:r>
      <w:r w:rsidR="00A00FD4">
        <w:t xml:space="preserve"> costs,</w:t>
      </w:r>
      <w:r w:rsidR="00677F31">
        <w:t xml:space="preserve"> </w:t>
      </w:r>
      <w:r>
        <w:t xml:space="preserve">overhead costs or capital </w:t>
      </w:r>
      <w:r w:rsidR="00A00FD4">
        <w:t>investment</w:t>
      </w:r>
      <w:r>
        <w:t xml:space="preserve"> related to these </w:t>
      </w:r>
      <w:r w:rsidR="00A00FD4">
        <w:t xml:space="preserve">commodities should </w:t>
      </w:r>
      <w:r w:rsidR="00677F31">
        <w:t>continue</w:t>
      </w:r>
      <w:r w:rsidR="00A00FD4">
        <w:t xml:space="preserve"> to be recovered under base rates.</w:t>
      </w:r>
    </w:p>
    <w:p w:rsidR="00DA5DE4" w:rsidRDefault="00DA5DE4" w:rsidP="00DA5DE4">
      <w:pPr>
        <w:spacing w:line="480" w:lineRule="auto"/>
        <w:ind w:left="720" w:hanging="720"/>
      </w:pPr>
    </w:p>
    <w:p w:rsidR="00DA5DE4" w:rsidRPr="00DF36F9" w:rsidRDefault="00DA5DE4" w:rsidP="00DA5DE4">
      <w:pPr>
        <w:spacing w:line="480" w:lineRule="auto"/>
        <w:ind w:left="720" w:hanging="720"/>
        <w:rPr>
          <w:b/>
          <w:bCs/>
        </w:rPr>
      </w:pPr>
      <w:r>
        <w:rPr>
          <w:b/>
          <w:bCs/>
        </w:rPr>
        <w:t>Q.</w:t>
      </w:r>
      <w:r>
        <w:rPr>
          <w:b/>
          <w:bCs/>
        </w:rPr>
        <w:tab/>
        <w:t xml:space="preserve">WHY DOES STAFF </w:t>
      </w:r>
      <w:r w:rsidR="00A00FD4">
        <w:rPr>
          <w:b/>
          <w:bCs/>
        </w:rPr>
        <w:t>BELIEVE</w:t>
      </w:r>
      <w:r>
        <w:rPr>
          <w:b/>
          <w:bCs/>
        </w:rPr>
        <w:t xml:space="preserve"> IT IS APPROPRIATE TO RECOVER THE COST OF THESE FOUR COMMODITIES UNDER FCR RATES? </w:t>
      </w:r>
    </w:p>
    <w:p w:rsidR="00691FEB" w:rsidRDefault="00DA5DE4" w:rsidP="00DA5DE4">
      <w:pPr>
        <w:spacing w:line="480" w:lineRule="auto"/>
        <w:ind w:left="720" w:hanging="720"/>
      </w:pPr>
      <w:r w:rsidRPr="00353F19">
        <w:t>A.</w:t>
      </w:r>
      <w:r w:rsidRPr="00353F19">
        <w:tab/>
      </w:r>
      <w:r w:rsidR="00A00FD4">
        <w:t xml:space="preserve">Consumption of these commodities is directly tied to consumption of coal or natural gas to fire the Company’s generating units. In order to operate its fossil fuel plants the Company must </w:t>
      </w:r>
      <w:r w:rsidR="00677F31">
        <w:t>consume</w:t>
      </w:r>
      <w:r w:rsidR="00A00FD4">
        <w:t xml:space="preserve"> these commodities to abate certain pollutants. </w:t>
      </w:r>
      <w:r w:rsidR="00677F31">
        <w:t xml:space="preserve">Given changes in market conditions for sales or load, fuel </w:t>
      </w:r>
      <w:r w:rsidR="006F78DF">
        <w:t xml:space="preserve">prices and fuel volumes consumed </w:t>
      </w:r>
      <w:r w:rsidR="00677F31">
        <w:t xml:space="preserve">it is difficult </w:t>
      </w:r>
      <w:r w:rsidR="00677F31">
        <w:lastRenderedPageBreak/>
        <w:t>to accurately estimate prospective fuel cost and pollution abatement commodity cost consistently over time on a sustainable basis.</w:t>
      </w:r>
    </w:p>
    <w:p w:rsidR="00691FEB" w:rsidRDefault="00691FEB" w:rsidP="00DA5DE4">
      <w:pPr>
        <w:spacing w:line="480" w:lineRule="auto"/>
        <w:ind w:left="720" w:hanging="720"/>
      </w:pPr>
    </w:p>
    <w:p w:rsidR="00DA5DE4" w:rsidRDefault="00C724BD" w:rsidP="00691FEB">
      <w:pPr>
        <w:spacing w:line="480" w:lineRule="auto"/>
        <w:ind w:left="720"/>
        <w:rPr>
          <w:b/>
          <w:bCs/>
        </w:rPr>
      </w:pPr>
      <w:r>
        <w:t xml:space="preserve">The </w:t>
      </w:r>
      <w:r w:rsidR="00677F31">
        <w:t xml:space="preserve">Fuel Cost Recovery statue addresses this issue by allowing </w:t>
      </w:r>
      <w:r w:rsidR="006F78DF">
        <w:t xml:space="preserve">the </w:t>
      </w:r>
      <w:r w:rsidR="00677F31">
        <w:t xml:space="preserve">Company recovery of only prudently incurred fuel cost rather than </w:t>
      </w:r>
      <w:r w:rsidR="00784944">
        <w:t>on an</w:t>
      </w:r>
      <w:r w:rsidR="00677F31">
        <w:t xml:space="preserve"> estimate </w:t>
      </w:r>
      <w:r w:rsidR="00784944">
        <w:t>of prospective</w:t>
      </w:r>
      <w:r w:rsidR="00677F31">
        <w:t xml:space="preserve"> cost as is done with cost</w:t>
      </w:r>
      <w:r w:rsidR="00784944">
        <w:t>s</w:t>
      </w:r>
      <w:r w:rsidR="00677F31">
        <w:t xml:space="preserve"> collected under base rates. This treats both ratepayers and the Company fairly</w:t>
      </w:r>
      <w:r w:rsidR="00784944">
        <w:t xml:space="preserve"> as only the cost incurred by the Company is recovered from ratepayers</w:t>
      </w:r>
      <w:r w:rsidR="00677F31">
        <w:t xml:space="preserve">. </w:t>
      </w:r>
      <w:r w:rsidR="00A00FD4">
        <w:t xml:space="preserve">Therefore, it makes economic sense </w:t>
      </w:r>
      <w:r w:rsidR="00784944">
        <w:t xml:space="preserve">and is appropriate regulatory policy </w:t>
      </w:r>
      <w:r w:rsidR="00A00FD4">
        <w:t xml:space="preserve">to recover pollution abatement commodities </w:t>
      </w:r>
      <w:r w:rsidR="00784944">
        <w:t>along with natural g</w:t>
      </w:r>
      <w:r w:rsidR="00A00FD4">
        <w:t xml:space="preserve">as and coal </w:t>
      </w:r>
      <w:r w:rsidR="006F78DF">
        <w:t xml:space="preserve">cost </w:t>
      </w:r>
      <w:r w:rsidR="00A00FD4">
        <w:t xml:space="preserve">under FCR rates. </w:t>
      </w:r>
    </w:p>
    <w:p w:rsidR="00DA5DE4" w:rsidRDefault="00DA5DE4" w:rsidP="00DA5DE4">
      <w:pPr>
        <w:spacing w:line="480" w:lineRule="auto"/>
        <w:ind w:left="720" w:hanging="720"/>
        <w:rPr>
          <w:b/>
          <w:bCs/>
        </w:rPr>
      </w:pPr>
    </w:p>
    <w:p w:rsidR="00DA5DE4" w:rsidRPr="00DF36F9" w:rsidRDefault="00DA5DE4" w:rsidP="00DA5DE4">
      <w:pPr>
        <w:spacing w:line="480" w:lineRule="auto"/>
        <w:ind w:left="720" w:hanging="720"/>
        <w:rPr>
          <w:b/>
          <w:bCs/>
        </w:rPr>
      </w:pPr>
      <w:r>
        <w:rPr>
          <w:b/>
          <w:bCs/>
        </w:rPr>
        <w:t>Q.</w:t>
      </w:r>
      <w:r>
        <w:rPr>
          <w:b/>
          <w:bCs/>
        </w:rPr>
        <w:tab/>
      </w:r>
      <w:r w:rsidR="00784944">
        <w:rPr>
          <w:b/>
          <w:bCs/>
        </w:rPr>
        <w:t>HOW DOES STAFF PROPOSE TO TRANSITION POLLUTION ABATEMENT COMMODITY COST FROM BASE RATE</w:t>
      </w:r>
      <w:r w:rsidR="00691FEB">
        <w:rPr>
          <w:b/>
          <w:bCs/>
        </w:rPr>
        <w:t>S</w:t>
      </w:r>
      <w:r w:rsidR="00784944">
        <w:rPr>
          <w:b/>
          <w:bCs/>
        </w:rPr>
        <w:t xml:space="preserve"> TO FUEL RATES</w:t>
      </w:r>
      <w:r>
        <w:rPr>
          <w:b/>
          <w:bCs/>
        </w:rPr>
        <w:t xml:space="preserve">? </w:t>
      </w:r>
    </w:p>
    <w:p w:rsidR="00DA5DE4" w:rsidRDefault="00DA5DE4" w:rsidP="00DA5DE4">
      <w:pPr>
        <w:spacing w:line="480" w:lineRule="auto"/>
        <w:ind w:left="720" w:hanging="720"/>
      </w:pPr>
      <w:r w:rsidRPr="00353F19">
        <w:t>A.</w:t>
      </w:r>
      <w:r w:rsidRPr="00353F19">
        <w:tab/>
      </w:r>
      <w:r w:rsidR="00784944">
        <w:t xml:space="preserve">In this proceeding </w:t>
      </w:r>
      <w:r>
        <w:t xml:space="preserve">Staff’s </w:t>
      </w:r>
      <w:r w:rsidR="00784944">
        <w:t xml:space="preserve">is requesting the </w:t>
      </w:r>
      <w:r w:rsidR="006F78DF">
        <w:t>Commission</w:t>
      </w:r>
      <w:r w:rsidR="00784944">
        <w:t xml:space="preserve"> make pollution abatement commodities </w:t>
      </w:r>
      <w:r w:rsidR="006F78DF">
        <w:t>eligible</w:t>
      </w:r>
      <w:r w:rsidR="00784944">
        <w:t xml:space="preserve"> for recovery under FCR rates. However, pollution abatement commodity cost should not be recovered under FCR rates until new base rate</w:t>
      </w:r>
      <w:r w:rsidR="006F78DF">
        <w:t>s</w:t>
      </w:r>
      <w:r w:rsidR="00784944">
        <w:t xml:space="preserve"> go into effect. </w:t>
      </w:r>
      <w:r w:rsidR="006F78DF">
        <w:t>The</w:t>
      </w:r>
      <w:r w:rsidR="00784944">
        <w:t xml:space="preserve"> Company is schedule</w:t>
      </w:r>
      <w:r w:rsidR="00C724BD">
        <w:t>d</w:t>
      </w:r>
      <w:r w:rsidR="00784944">
        <w:t xml:space="preserve"> to file </w:t>
      </w:r>
      <w:r w:rsidR="00C724BD">
        <w:t xml:space="preserve">a </w:t>
      </w:r>
      <w:r w:rsidR="00784944">
        <w:t>base rate case in July 201</w:t>
      </w:r>
      <w:r w:rsidR="006F78DF">
        <w:t>6</w:t>
      </w:r>
      <w:r w:rsidR="00784944">
        <w:t xml:space="preserve"> with new base rates going into effect in January 2017. The Company would not include pollution abatement commodity cost in its estimate of base ra</w:t>
      </w:r>
      <w:r w:rsidR="006F78DF">
        <w:t>t</w:t>
      </w:r>
      <w:r w:rsidR="00784944">
        <w:t>e revenue requirement</w:t>
      </w:r>
      <w:r w:rsidR="006F78DF">
        <w:t xml:space="preserve"> for 2017 and subsequent years. Starting in January 2017</w:t>
      </w:r>
      <w:r w:rsidR="006F78DF" w:rsidRPr="006F78DF">
        <w:t xml:space="preserve"> </w:t>
      </w:r>
      <w:r w:rsidR="006F78DF">
        <w:t>pollution abatement commodity cost would begin being recovered under FCR rates. This proposed transition from base rates to FCR rates would make both ratepayers and Company whole.</w:t>
      </w:r>
    </w:p>
    <w:p w:rsidR="00A42701" w:rsidRDefault="00A42701" w:rsidP="00E16EE7">
      <w:pPr>
        <w:spacing w:line="480" w:lineRule="auto"/>
        <w:ind w:left="720" w:hanging="720"/>
      </w:pPr>
    </w:p>
    <w:p w:rsidR="00683D15" w:rsidRDefault="00683D15">
      <w:pPr>
        <w:spacing w:line="480" w:lineRule="auto"/>
        <w:ind w:left="720" w:hanging="720"/>
        <w:rPr>
          <w:b/>
          <w:bCs/>
          <w:color w:val="000000"/>
        </w:rPr>
      </w:pPr>
      <w:r>
        <w:rPr>
          <w:b/>
          <w:bCs/>
          <w:color w:val="000000"/>
        </w:rPr>
        <w:lastRenderedPageBreak/>
        <w:t>Q.</w:t>
      </w:r>
      <w:r>
        <w:rPr>
          <w:b/>
          <w:bCs/>
          <w:color w:val="000000"/>
        </w:rPr>
        <w:tab/>
      </w:r>
      <w:r w:rsidRPr="007217E9">
        <w:rPr>
          <w:rFonts w:ascii="Times New Roman Bold" w:hAnsi="Times New Roman Bold" w:cs="Times New Roman Bold"/>
          <w:b/>
          <w:bCs/>
          <w:caps/>
          <w:color w:val="000000"/>
        </w:rPr>
        <w:t>Does that conclude your testimony?</w:t>
      </w:r>
    </w:p>
    <w:p w:rsidR="00683D15" w:rsidRDefault="00683D15">
      <w:pPr>
        <w:spacing w:line="480" w:lineRule="auto"/>
        <w:ind w:left="720" w:hanging="720"/>
        <w:rPr>
          <w:color w:val="000000"/>
        </w:rPr>
        <w:sectPr w:rsidR="00683D15" w:rsidSect="00D4089F">
          <w:headerReference w:type="default" r:id="rId9"/>
          <w:pgSz w:w="12240" w:h="15840" w:code="1"/>
          <w:pgMar w:top="2160" w:right="1440" w:bottom="1267" w:left="1440" w:header="720" w:footer="720" w:gutter="0"/>
          <w:lnNumType w:countBy="1"/>
          <w:pgNumType w:start="1"/>
          <w:cols w:space="720"/>
        </w:sectPr>
      </w:pPr>
      <w:r>
        <w:rPr>
          <w:color w:val="000000"/>
        </w:rPr>
        <w:t>A.</w:t>
      </w:r>
      <w:r>
        <w:rPr>
          <w:color w:val="000000"/>
        </w:rPr>
        <w:tab/>
        <w:t>Yes.</w:t>
      </w:r>
      <w:r w:rsidR="00036FB6">
        <w:rPr>
          <w:color w:val="000000"/>
        </w:rPr>
        <w:t xml:space="preserve"> </w:t>
      </w:r>
    </w:p>
    <w:p w:rsidR="00683D15" w:rsidRDefault="001B3C54">
      <w:pPr>
        <w:jc w:val="center"/>
        <w:rPr>
          <w:b/>
          <w:bCs/>
          <w:u w:val="single"/>
        </w:rPr>
      </w:pPr>
      <w:r>
        <w:rPr>
          <w:b/>
          <w:bCs/>
          <w:u w:val="single"/>
        </w:rPr>
        <w:lastRenderedPageBreak/>
        <w:t xml:space="preserve">Exhibit </w:t>
      </w:r>
      <w:r w:rsidR="00683D15">
        <w:rPr>
          <w:b/>
          <w:bCs/>
          <w:u w:val="single"/>
        </w:rPr>
        <w:t>TJN-1</w:t>
      </w:r>
    </w:p>
    <w:p w:rsidR="00683D15" w:rsidRDefault="00683D15">
      <w:pPr>
        <w:jc w:val="center"/>
        <w:rPr>
          <w:b/>
          <w:bCs/>
          <w:u w:val="single"/>
        </w:rPr>
      </w:pPr>
    </w:p>
    <w:p w:rsidR="00683D15" w:rsidRDefault="00683D15">
      <w:pPr>
        <w:jc w:val="center"/>
        <w:rPr>
          <w:u w:val="single"/>
        </w:rPr>
      </w:pPr>
      <w:r>
        <w:rPr>
          <w:u w:val="single"/>
        </w:rPr>
        <w:t>Summary of Educational and Professional Experience of Tom J. Newsome</w:t>
      </w:r>
    </w:p>
    <w:p w:rsidR="00683D15" w:rsidRDefault="00683D15">
      <w:pPr>
        <w:jc w:val="center"/>
      </w:pPr>
    </w:p>
    <w:p w:rsidR="00683D15" w:rsidRDefault="00683D15">
      <w:r>
        <w:t xml:space="preserve">Mr. Newsome received a Bachelor of Chemical Engineering with certificates in Pulp &amp; Paper and Polymers from the Georgia Institute of Technology in June 1986.  In 1994, Mr. Newsome passed both required examinations and received a professional engineering license (PE) from the State of </w:t>
      </w:r>
      <w:smartTag w:uri="urn:schemas-microsoft-com:office:smarttags" w:element="place">
        <w:smartTag w:uri="urn:schemas-microsoft-com:office:smarttags" w:element="State">
          <w:r>
            <w:t>North Carolina</w:t>
          </w:r>
        </w:smartTag>
      </w:smartTag>
      <w:r>
        <w:t xml:space="preserve">. Mr. Newsome received a Master of Science in Business Economics and a Master of Science in Finance from </w:t>
      </w:r>
      <w:smartTag w:uri="urn:schemas-microsoft-com:office:smarttags" w:element="place">
        <w:smartTag w:uri="urn:schemas-microsoft-com:office:smarttags" w:element="PlaceName">
          <w:r>
            <w:t>Georgia</w:t>
          </w:r>
        </w:smartTag>
        <w:r>
          <w:t xml:space="preserve"> </w:t>
        </w:r>
        <w:smartTag w:uri="urn:schemas-microsoft-com:office:smarttags" w:element="PlaceName">
          <w:r>
            <w:t>State</w:t>
          </w:r>
        </w:smartTag>
        <w:r>
          <w:t xml:space="preserve"> </w:t>
        </w:r>
        <w:smartTag w:uri="urn:schemas-microsoft-com:office:smarttags" w:element="PlaceType">
          <w:r>
            <w:t>University</w:t>
          </w:r>
        </w:smartTag>
      </w:smartTag>
      <w:r>
        <w:t xml:space="preserve"> in August 1996 and June 1997, respectively. Mr. Newsome is the recipient of the George J. Malanos Graduate Award for Academic Excellence for completing the finance program with a 4.0 grade-point average. In 2003, Mr. Newsome received Chartered Financial Analyst (CFA) designation from the CFA Institute after successfully completing three six-hour examinations on security analysis and portfolio management.</w:t>
      </w:r>
    </w:p>
    <w:p w:rsidR="00683D15" w:rsidRDefault="00683D15">
      <w:pPr>
        <w:tabs>
          <w:tab w:val="left" w:pos="4896"/>
        </w:tabs>
      </w:pPr>
      <w:r>
        <w:tab/>
      </w:r>
    </w:p>
    <w:p w:rsidR="00683D15" w:rsidRDefault="00683D15">
      <w:r>
        <w:t xml:space="preserve">After graduation from Georgia Tech, Mr. Newsome worked as plant/process engineer for Shaw Industries, a carpet manufacturer. In April 1988, Mr. Newsome joined Weatherly, Inc., engineering and construction firm specializing in fertilizer plants, as a process engineer. Mr. Newsome’s primary responsibilities were process design and plant start-ups, including start-ups in </w:t>
      </w:r>
      <w:smartTag w:uri="urn:schemas-microsoft-com:office:smarttags" w:element="country-region">
        <w:r>
          <w:t>Korea</w:t>
        </w:r>
      </w:smartTag>
      <w:r>
        <w:t xml:space="preserve"> and </w:t>
      </w:r>
      <w:smartTag w:uri="urn:schemas-microsoft-com:office:smarttags" w:element="place">
        <w:smartTag w:uri="urn:schemas-microsoft-com:office:smarttags" w:element="country-region">
          <w:r>
            <w:t>India</w:t>
          </w:r>
        </w:smartTag>
      </w:smartTag>
      <w:r>
        <w:t xml:space="preserve">. Mr. Newsome joined Midrex Direction Reduction Corp., an applied research, engineering and construction firm with proprietary iron ore processing plant technology in March 1993 as a process engineer. Mr. Newsome duties were similar to those at Weatherly, including assisting in the start-up of the world’s largest Direct Reduction Iron plant in </w:t>
      </w:r>
      <w:smartTag w:uri="urn:schemas-microsoft-com:office:smarttags" w:element="place">
        <w:smartTag w:uri="urn:schemas-microsoft-com:office:smarttags" w:element="country-region">
          <w:r>
            <w:t>India</w:t>
          </w:r>
        </w:smartTag>
      </w:smartTag>
      <w:r>
        <w:t>.</w:t>
      </w:r>
    </w:p>
    <w:p w:rsidR="00683D15" w:rsidRDefault="00683D15"/>
    <w:p w:rsidR="00683D15" w:rsidRDefault="00683D15">
      <w:r>
        <w:t xml:space="preserve">Following graduation from graduate school at </w:t>
      </w:r>
      <w:smartTag w:uri="urn:schemas-microsoft-com:office:smarttags" w:element="place">
        <w:smartTag w:uri="urn:schemas-microsoft-com:office:smarttags" w:element="PlaceName">
          <w:r>
            <w:t>Georgia</w:t>
          </w:r>
        </w:smartTag>
        <w:r>
          <w:t xml:space="preserve"> </w:t>
        </w:r>
        <w:smartTag w:uri="urn:schemas-microsoft-com:office:smarttags" w:element="PlaceName">
          <w:r>
            <w:t>State</w:t>
          </w:r>
        </w:smartTag>
      </w:smartTag>
      <w:r>
        <w:t xml:space="preserve">, Mr. Newsome joined Georgia Gulf Corporation in 1997 as a corporate development analyst. While at </w:t>
      </w:r>
      <w:smartTag w:uri="urn:schemas-microsoft-com:office:smarttags" w:element="place">
        <w:smartTag w:uri="urn:schemas-microsoft-com:office:smarttags" w:element="PlaceName">
          <w:r>
            <w:t>Georgia</w:t>
          </w:r>
        </w:smartTag>
        <w:r>
          <w:t xml:space="preserve"> </w:t>
        </w:r>
        <w:smartTag w:uri="urn:schemas-microsoft-com:office:smarttags" w:element="PlaceName">
          <w:r>
            <w:t>Gulf</w:t>
          </w:r>
        </w:smartTag>
      </w:smartTag>
      <w:r>
        <w:t>, Mr. Newsome performed financial analysis and modeling for natural gas purchasing/hedging program, developed a “make-or-buy” model for methanol business, performed financial modeling for an acquisition, and calculated and summarized the financial performance of prior capital investments. In 1999, Mr. Newsome joined FMV Opinions, Inc. as a business valuation analyst and valued private companies for gift and estate tax, transactional and management planning purposes.</w:t>
      </w:r>
    </w:p>
    <w:p w:rsidR="00683D15" w:rsidRDefault="00683D15"/>
    <w:p w:rsidR="00704D3B" w:rsidRDefault="00683D15" w:rsidP="00180F0C">
      <w:r>
        <w:t>Mr. Newsome joined the Georgia Public Service Commission (“Commission”) in January 2005 as a Financial Analyst/Economist. Mr. Newsome was promoted to Direc</w:t>
      </w:r>
      <w:r w:rsidR="00704D3B">
        <w:t>tor of Utility Finance in 2008.</w:t>
      </w:r>
    </w:p>
    <w:p w:rsidR="00704D3B" w:rsidRDefault="00704D3B" w:rsidP="00180F0C"/>
    <w:p w:rsidR="00683D15" w:rsidRPr="00180F0C" w:rsidRDefault="00785647" w:rsidP="00180F0C">
      <w:pPr>
        <w:sectPr w:rsidR="00683D15" w:rsidRPr="00180F0C" w:rsidSect="00D4089F">
          <w:headerReference w:type="default" r:id="rId10"/>
          <w:footerReference w:type="default" r:id="rId11"/>
          <w:pgSz w:w="12240" w:h="15840"/>
          <w:pgMar w:top="1440" w:right="1800" w:bottom="1440" w:left="1800" w:header="720" w:footer="720" w:gutter="0"/>
          <w:pgNumType w:start="1"/>
          <w:cols w:space="720"/>
          <w:docGrid w:linePitch="360"/>
        </w:sectPr>
      </w:pPr>
      <w:r>
        <w:t xml:space="preserve">Mr. Newsome </w:t>
      </w:r>
      <w:r>
        <w:rPr>
          <w:color w:val="000000"/>
        </w:rPr>
        <w:t>has</w:t>
      </w:r>
      <w:r w:rsidR="00704D3B">
        <w:rPr>
          <w:color w:val="000000"/>
        </w:rPr>
        <w:t xml:space="preserve"> testified in eight Georgia Power Company (“Company” or “Georgia Power”) proceedings before the Commission.  </w:t>
      </w:r>
      <w:r w:rsidR="00704D3B" w:rsidRPr="00343862">
        <w:rPr>
          <w:color w:val="000000"/>
        </w:rPr>
        <w:t>In Docket</w:t>
      </w:r>
      <w:r w:rsidR="00704D3B">
        <w:rPr>
          <w:color w:val="000000"/>
        </w:rPr>
        <w:t xml:space="preserve"> No.</w:t>
      </w:r>
      <w:r w:rsidR="00704D3B" w:rsidRPr="00343862">
        <w:rPr>
          <w:color w:val="000000"/>
        </w:rPr>
        <w:t xml:space="preserve"> 22403, </w:t>
      </w:r>
      <w:r w:rsidR="00704D3B">
        <w:rPr>
          <w:color w:val="000000"/>
        </w:rPr>
        <w:t xml:space="preserve">Mr. Newsome </w:t>
      </w:r>
      <w:r w:rsidR="00704D3B" w:rsidRPr="00343862">
        <w:rPr>
          <w:color w:val="000000"/>
        </w:rPr>
        <w:t>addressed Georgia Power Co</w:t>
      </w:r>
      <w:r w:rsidR="00704D3B">
        <w:rPr>
          <w:color w:val="000000"/>
        </w:rPr>
        <w:t>mpany</w:t>
      </w:r>
      <w:r w:rsidR="00704D3B" w:rsidRPr="00343862">
        <w:rPr>
          <w:color w:val="000000"/>
        </w:rPr>
        <w:t xml:space="preserve">’s natural gas hedging program and in Docket </w:t>
      </w:r>
      <w:r w:rsidR="00704D3B">
        <w:rPr>
          <w:color w:val="000000"/>
        </w:rPr>
        <w:t xml:space="preserve">No. </w:t>
      </w:r>
      <w:r w:rsidR="00704D3B" w:rsidRPr="00343862">
        <w:rPr>
          <w:color w:val="000000"/>
        </w:rPr>
        <w:t xml:space="preserve">24506 </w:t>
      </w:r>
      <w:r w:rsidR="00704D3B">
        <w:rPr>
          <w:color w:val="000000"/>
        </w:rPr>
        <w:t xml:space="preserve">Mr. Newsome </w:t>
      </w:r>
      <w:r w:rsidR="00704D3B" w:rsidRPr="00343862">
        <w:rPr>
          <w:color w:val="000000"/>
        </w:rPr>
        <w:t xml:space="preserve">testified on the application of AFUDC accounting for calculating financing cost of capital projects. </w:t>
      </w:r>
      <w:r w:rsidR="00704D3B">
        <w:rPr>
          <w:color w:val="000000"/>
        </w:rPr>
        <w:t xml:space="preserve">In Docket No. 27800, Certification of Plant Vogtle Expansion, Mr. Newsome </w:t>
      </w:r>
      <w:r w:rsidR="00704D3B" w:rsidRPr="00D97562">
        <w:rPr>
          <w:color w:val="000000"/>
        </w:rPr>
        <w:t>address</w:t>
      </w:r>
      <w:r w:rsidR="00704D3B">
        <w:rPr>
          <w:color w:val="000000"/>
        </w:rPr>
        <w:t>ed</w:t>
      </w:r>
      <w:r w:rsidR="00704D3B" w:rsidRPr="00D97562">
        <w:rPr>
          <w:color w:val="000000"/>
        </w:rPr>
        <w:t xml:space="preserve"> the sources, impact and mitigation of financial risk from the construction and operation of </w:t>
      </w:r>
      <w:r w:rsidR="00704D3B">
        <w:rPr>
          <w:color w:val="000000"/>
        </w:rPr>
        <w:t xml:space="preserve">new nuclear units at </w:t>
      </w:r>
      <w:r w:rsidR="00704D3B" w:rsidRPr="00D97562">
        <w:rPr>
          <w:color w:val="000000"/>
        </w:rPr>
        <w:t>Plant Vogtle</w:t>
      </w:r>
      <w:r w:rsidR="00704D3B">
        <w:rPr>
          <w:color w:val="000000"/>
        </w:rPr>
        <w:t xml:space="preserve">.  Mr. Newsome testified in Docket No. 29849 concerning Georgia Power’s First Semi-annual </w:t>
      </w:r>
      <w:r w:rsidR="00704D3B">
        <w:rPr>
          <w:color w:val="000000"/>
        </w:rPr>
        <w:lastRenderedPageBreak/>
        <w:t xml:space="preserve">Construction Monitoring Report on Plant Vogtle expansion.  Mr. Newsome </w:t>
      </w:r>
      <w:r w:rsidR="00704D3B" w:rsidRPr="00D97562">
        <w:rPr>
          <w:color w:val="000000"/>
        </w:rPr>
        <w:t xml:space="preserve">evaluated the economic analysis performed by </w:t>
      </w:r>
      <w:r w:rsidR="00704D3B">
        <w:rPr>
          <w:color w:val="000000"/>
        </w:rPr>
        <w:t xml:space="preserve">Georgia Power </w:t>
      </w:r>
      <w:r w:rsidR="00704D3B" w:rsidRPr="00D97562">
        <w:rPr>
          <w:color w:val="000000"/>
        </w:rPr>
        <w:t xml:space="preserve">and developed </w:t>
      </w:r>
      <w:r w:rsidR="00704D3B">
        <w:rPr>
          <w:color w:val="000000"/>
        </w:rPr>
        <w:t>Staff’s</w:t>
      </w:r>
      <w:r w:rsidR="00704D3B" w:rsidRPr="00D97562">
        <w:rPr>
          <w:color w:val="000000"/>
        </w:rPr>
        <w:t xml:space="preserve"> own independent economic </w:t>
      </w:r>
      <w:r w:rsidR="00704D3B">
        <w:rPr>
          <w:color w:val="000000"/>
        </w:rPr>
        <w:t xml:space="preserve">and risk </w:t>
      </w:r>
      <w:r w:rsidR="00704D3B" w:rsidRPr="00D97562">
        <w:rPr>
          <w:color w:val="000000"/>
        </w:rPr>
        <w:t>analysis of the Project</w:t>
      </w:r>
      <w:r w:rsidR="00704D3B">
        <w:rPr>
          <w:color w:val="000000"/>
        </w:rPr>
        <w:t>. In the Second Vogtle Semi-annual hearing, Mr. Newsome testified on the Company’s proposal to change how escalation on certain project cost was calculated (Amendment 3).  In the Third Vogtle Semiannual hearing and in separate proceeding, Adoption of a Risk Sharing Mechanism, Mr. Newsome testified on Staff’s revised risk sharing mechanism for Vogtle 3 &amp; 4.  In Docket No. 28945 Fuel Cost Recovery FCR–21, Mr. Newsome testified on seasonal rates.  Mr. Newsome also presented cost of equity testimony in Atmos Energy Corporation’s Rate Case in Docket No. 30442 and Generic Proceeding to Implement House Bill 168 (small telephone companies) in Docket No. 32235. My most recent testimony before the Commission was in Georgia Power’s 2013 Base Rate Case in Docket 36989 on the Company’s projected cost of debt for 2014 – 2016.</w:t>
      </w:r>
      <w:r w:rsidR="00E639C1">
        <w:rPr>
          <w:color w:val="000000"/>
        </w:rPr>
        <w:t xml:space="preserve"> </w:t>
      </w:r>
      <w:r w:rsidR="00683D15">
        <w:t xml:space="preserve">Mr. Newsome’s primarily responsibility, prior to presenting testimony in </w:t>
      </w:r>
      <w:r w:rsidR="00E639C1">
        <w:t>these</w:t>
      </w:r>
      <w:r w:rsidR="00683D15">
        <w:t xml:space="preserve"> docket</w:t>
      </w:r>
      <w:r w:rsidR="00E639C1">
        <w:t>s</w:t>
      </w:r>
      <w:r w:rsidR="00683D15">
        <w:t>, has been performing analyses of the parties’ cost of equity capital positions in Dockets 18638 (Atlanta Gas Light Company 2004/2005 Rate Case), 19758 (Savannah Electric and Power Company 2004 Rate Case), 20298 (Atmos Energy Corporation - Georgia Division 2005 Rate Case), 25060 (Georgia Power Co. 2007 Rate Case) and 27163 (Atmos Energy Corporation - Georgia Division 2008 Rate Case) and developing the Advisory PIA Staff’s cost of equity recommendation to the Commission</w:t>
      </w:r>
      <w:r w:rsidR="00E639C1">
        <w:t>.</w:t>
      </w:r>
    </w:p>
    <w:p w:rsidR="00683D15" w:rsidRDefault="00683D15" w:rsidP="00981661">
      <w:pPr>
        <w:tabs>
          <w:tab w:val="left" w:pos="-1440"/>
          <w:tab w:val="left" w:pos="1800"/>
        </w:tabs>
        <w:jc w:val="both"/>
      </w:pPr>
    </w:p>
    <w:sectPr w:rsidR="00683D15" w:rsidSect="00683D15">
      <w:headerReference w:type="default" r:id="rId12"/>
      <w:footerReference w:type="default" r:id="rId13"/>
      <w:endnotePr>
        <w:numFmt w:val="decimal"/>
      </w:endnotePr>
      <w:pgSz w:w="12240" w:h="15840"/>
      <w:pgMar w:top="720" w:right="1440" w:bottom="1620" w:left="1440" w:header="720" w:footer="420" w:gutter="0"/>
      <w:pgNumType w:start="1"/>
      <w:cols w:space="288"/>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F4021" w:rsidRDefault="00EF4021">
      <w:r>
        <w:separator/>
      </w:r>
    </w:p>
  </w:endnote>
  <w:endnote w:type="continuationSeparator" w:id="0">
    <w:p w:rsidR="00EF4021" w:rsidRDefault="00EF40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ZapfDingbats BT">
    <w:altName w:val="Wingdings 2"/>
    <w:panose1 w:val="00000000000000000000"/>
    <w:charset w:val="02"/>
    <w:family w:val="roman"/>
    <w:notTrueType/>
    <w:pitch w:val="variable"/>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2CF8" w:rsidRDefault="00432CF8" w:rsidP="00981661">
    <w:pPr>
      <w:pStyle w:val="Footer"/>
      <w:pBdr>
        <w:top w:val="single" w:sz="4" w:space="1" w:color="auto"/>
        <w:left w:val="single" w:sz="4" w:space="4" w:color="auto"/>
        <w:bottom w:val="single" w:sz="4" w:space="1" w:color="auto"/>
        <w:right w:val="single" w:sz="4" w:space="8" w:color="auto"/>
      </w:pBdr>
      <w:rPr>
        <w:sz w:val="20"/>
        <w:szCs w:val="20"/>
      </w:rPr>
    </w:pPr>
    <w:r>
      <w:rPr>
        <w:sz w:val="20"/>
        <w:szCs w:val="20"/>
      </w:rPr>
      <w:t>Appendix TJN-1, Qualifications of Tom J. Newsome</w:t>
    </w:r>
    <w:r>
      <w:rPr>
        <w:sz w:val="20"/>
        <w:szCs w:val="20"/>
      </w:rPr>
      <w:tab/>
    </w:r>
    <w:r>
      <w:rPr>
        <w:sz w:val="20"/>
        <w:szCs w:val="20"/>
      </w:rPr>
      <w:tab/>
      <w:t xml:space="preserve">Page </w:t>
    </w:r>
    <w:r w:rsidR="00D11584">
      <w:rPr>
        <w:sz w:val="20"/>
        <w:szCs w:val="20"/>
      </w:rPr>
      <w:fldChar w:fldCharType="begin"/>
    </w:r>
    <w:r>
      <w:rPr>
        <w:sz w:val="20"/>
        <w:szCs w:val="20"/>
      </w:rPr>
      <w:instrText xml:space="preserve"> PAGE </w:instrText>
    </w:r>
    <w:r w:rsidR="00D11584">
      <w:rPr>
        <w:sz w:val="20"/>
        <w:szCs w:val="20"/>
      </w:rPr>
      <w:fldChar w:fldCharType="separate"/>
    </w:r>
    <w:r w:rsidR="00981661">
      <w:rPr>
        <w:noProof/>
        <w:sz w:val="20"/>
        <w:szCs w:val="20"/>
      </w:rPr>
      <w:t>2</w:t>
    </w:r>
    <w:r w:rsidR="00D11584">
      <w:rPr>
        <w:sz w:val="20"/>
        <w:szCs w:val="20"/>
      </w:rPr>
      <w:fldChar w:fldCharType="end"/>
    </w:r>
    <w:r>
      <w:rPr>
        <w:sz w:val="20"/>
        <w:szCs w:val="20"/>
      </w:rPr>
      <w:t xml:space="preserve"> of 2</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2CF8" w:rsidRPr="00180F0C" w:rsidRDefault="00432CF8" w:rsidP="00180F0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F4021" w:rsidRDefault="00EF4021">
      <w:r>
        <w:separator/>
      </w:r>
    </w:p>
  </w:footnote>
  <w:footnote w:type="continuationSeparator" w:id="0">
    <w:p w:rsidR="00EF4021" w:rsidRDefault="00EF4021">
      <w:r>
        <w:continuationSeparator/>
      </w:r>
    </w:p>
  </w:footnote>
  <w:footnote w:id="1">
    <w:p w:rsidR="007676B4" w:rsidRDefault="007676B4">
      <w:pPr>
        <w:pStyle w:val="FootnoteText"/>
      </w:pPr>
      <w:r>
        <w:rPr>
          <w:rStyle w:val="FootnoteReference"/>
        </w:rPr>
        <w:footnoteRef/>
      </w:r>
      <w:r>
        <w:t xml:space="preserve"> Georgia Public Service Commission Order On Hedging Proposal. May 24, 2001. Docket No. 13196. Document  47468.</w:t>
      </w:r>
    </w:p>
  </w:footnote>
  <w:footnote w:id="2">
    <w:p w:rsidR="00603CA8" w:rsidRDefault="00603CA8">
      <w:pPr>
        <w:pStyle w:val="FootnoteText"/>
      </w:pPr>
      <w:r>
        <w:rPr>
          <w:rStyle w:val="FootnoteReference"/>
        </w:rPr>
        <w:footnoteRef/>
      </w:r>
      <w:r>
        <w:t xml:space="preserve"> Georgia Public Service Commission Order On Hedging Proposal. December 24, 2002. Docket No. 16134. Document  60406.</w:t>
      </w:r>
    </w:p>
  </w:footnote>
  <w:footnote w:id="3">
    <w:p w:rsidR="00B92CD8" w:rsidRDefault="00B92CD8">
      <w:pPr>
        <w:pStyle w:val="FootnoteText"/>
      </w:pPr>
      <w:r>
        <w:rPr>
          <w:rStyle w:val="FootnoteReference"/>
        </w:rPr>
        <w:footnoteRef/>
      </w:r>
      <w:r>
        <w:t xml:space="preserve"> Georgia Public Service Commission Order Adopting Modifications to Hedging Program. August 22, 2006. Docket No. 22403. Document  94997.</w:t>
      </w:r>
    </w:p>
  </w:footnote>
  <w:footnote w:id="4">
    <w:p w:rsidR="00B92CD8" w:rsidRDefault="00B92CD8">
      <w:pPr>
        <w:pStyle w:val="FootnoteText"/>
      </w:pPr>
      <w:r>
        <w:rPr>
          <w:rStyle w:val="FootnoteReference"/>
        </w:rPr>
        <w:footnoteRef/>
      </w:r>
      <w:r>
        <w:t xml:space="preserve"> Georgia Public Service Commission Second Order Adopting Modifications to Hedging Program. July 20, 2007. Docket No. 22403. Document  104127.</w:t>
      </w:r>
    </w:p>
  </w:footnote>
  <w:footnote w:id="5">
    <w:p w:rsidR="00A543A9" w:rsidRDefault="00A543A9">
      <w:pPr>
        <w:pStyle w:val="FootnoteText"/>
      </w:pPr>
      <w:r>
        <w:rPr>
          <w:rStyle w:val="FootnoteReference"/>
        </w:rPr>
        <w:footnoteRef/>
      </w:r>
      <w:r>
        <w:t xml:space="preserve"> Georgia Public Service Commission Order Adopting Stipulation and Modifications to Hedging Program. February 26, 2013. Docket No. 16134. Document  146524.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2CF8" w:rsidRDefault="00432CF8" w:rsidP="00B2516B">
    <w:pPr>
      <w:pStyle w:val="Header"/>
      <w:pBdr>
        <w:top w:val="single" w:sz="4" w:space="18" w:color="auto"/>
        <w:left w:val="single" w:sz="4" w:space="4" w:color="auto"/>
        <w:bottom w:val="single" w:sz="4" w:space="1" w:color="auto"/>
        <w:right w:val="single" w:sz="4" w:space="4" w:color="auto"/>
      </w:pBdr>
      <w:tabs>
        <w:tab w:val="clear" w:pos="8640"/>
        <w:tab w:val="left" w:pos="4770"/>
        <w:tab w:val="left" w:pos="5220"/>
        <w:tab w:val="left" w:pos="6750"/>
        <w:tab w:val="left" w:pos="7200"/>
        <w:tab w:val="left" w:pos="7560"/>
        <w:tab w:val="right" w:pos="9540"/>
      </w:tabs>
      <w:rPr>
        <w:b/>
        <w:bCs/>
        <w:sz w:val="20"/>
        <w:szCs w:val="20"/>
      </w:rPr>
    </w:pPr>
    <w:r>
      <w:rPr>
        <w:b/>
        <w:bCs/>
        <w:sz w:val="20"/>
        <w:szCs w:val="20"/>
      </w:rPr>
      <w:tab/>
    </w:r>
    <w:r>
      <w:rPr>
        <w:b/>
        <w:bCs/>
        <w:sz w:val="20"/>
        <w:szCs w:val="20"/>
      </w:rPr>
      <w:tab/>
    </w:r>
    <w:r>
      <w:rPr>
        <w:b/>
        <w:bCs/>
        <w:sz w:val="20"/>
        <w:szCs w:val="20"/>
      </w:rPr>
      <w:tab/>
    </w:r>
    <w:r>
      <w:rPr>
        <w:b/>
        <w:bCs/>
        <w:sz w:val="20"/>
        <w:szCs w:val="20"/>
      </w:rPr>
      <w:tab/>
    </w:r>
    <w:r>
      <w:rPr>
        <w:b/>
        <w:bCs/>
        <w:sz w:val="20"/>
        <w:szCs w:val="20"/>
      </w:rPr>
      <w:tab/>
    </w:r>
    <w:r>
      <w:rPr>
        <w:b/>
        <w:bCs/>
        <w:sz w:val="20"/>
        <w:szCs w:val="20"/>
      </w:rPr>
      <w:tab/>
      <w:t xml:space="preserve">      Docket No. 39638</w:t>
    </w:r>
  </w:p>
  <w:p w:rsidR="00432CF8" w:rsidRDefault="00432CF8" w:rsidP="00B2516B">
    <w:pPr>
      <w:pStyle w:val="Header"/>
      <w:pBdr>
        <w:top w:val="single" w:sz="4" w:space="18" w:color="auto"/>
        <w:left w:val="single" w:sz="4" w:space="4" w:color="auto"/>
        <w:bottom w:val="single" w:sz="4" w:space="1" w:color="auto"/>
        <w:right w:val="single" w:sz="4" w:space="4" w:color="auto"/>
      </w:pBdr>
      <w:tabs>
        <w:tab w:val="clear" w:pos="8640"/>
        <w:tab w:val="left" w:pos="2445"/>
        <w:tab w:val="left" w:pos="4680"/>
        <w:tab w:val="left" w:pos="4770"/>
        <w:tab w:val="right" w:pos="9000"/>
      </w:tabs>
      <w:rPr>
        <w:b/>
        <w:bCs/>
        <w:sz w:val="20"/>
        <w:szCs w:val="20"/>
      </w:rPr>
    </w:pPr>
    <w:r>
      <w:rPr>
        <w:b/>
        <w:bCs/>
        <w:sz w:val="20"/>
        <w:szCs w:val="20"/>
      </w:rPr>
      <w:t>Direct Testimony of</w:t>
    </w:r>
    <w:r>
      <w:rPr>
        <w:b/>
        <w:bCs/>
        <w:sz w:val="20"/>
        <w:szCs w:val="20"/>
      </w:rPr>
      <w:tab/>
    </w:r>
    <w:r>
      <w:rPr>
        <w:b/>
        <w:bCs/>
        <w:sz w:val="20"/>
        <w:szCs w:val="20"/>
      </w:rPr>
      <w:tab/>
    </w:r>
    <w:r>
      <w:rPr>
        <w:b/>
        <w:bCs/>
        <w:sz w:val="20"/>
        <w:szCs w:val="20"/>
      </w:rPr>
      <w:tab/>
    </w:r>
    <w:r>
      <w:rPr>
        <w:b/>
        <w:bCs/>
        <w:sz w:val="20"/>
        <w:szCs w:val="20"/>
      </w:rPr>
      <w:tab/>
    </w:r>
    <w:r>
      <w:rPr>
        <w:b/>
        <w:bCs/>
        <w:sz w:val="20"/>
        <w:szCs w:val="20"/>
      </w:rPr>
      <w:tab/>
      <w:t xml:space="preserve">                                             Georgia Power Company’s</w:t>
    </w:r>
  </w:p>
  <w:p w:rsidR="00432CF8" w:rsidRPr="00300A25" w:rsidRDefault="00432CF8" w:rsidP="00B2516B">
    <w:pPr>
      <w:pStyle w:val="Header"/>
      <w:pBdr>
        <w:top w:val="single" w:sz="4" w:space="18" w:color="auto"/>
        <w:left w:val="single" w:sz="4" w:space="4" w:color="auto"/>
        <w:bottom w:val="single" w:sz="4" w:space="1" w:color="auto"/>
        <w:right w:val="single" w:sz="4" w:space="4" w:color="auto"/>
      </w:pBdr>
      <w:tabs>
        <w:tab w:val="clear" w:pos="8640"/>
        <w:tab w:val="left" w:pos="2445"/>
        <w:tab w:val="left" w:pos="4680"/>
        <w:tab w:val="left" w:pos="4770"/>
        <w:tab w:val="right" w:pos="9000"/>
      </w:tabs>
      <w:rPr>
        <w:b/>
        <w:bCs/>
        <w:sz w:val="20"/>
        <w:szCs w:val="20"/>
      </w:rPr>
    </w:pPr>
    <w:r>
      <w:rPr>
        <w:b/>
        <w:bCs/>
        <w:sz w:val="20"/>
        <w:szCs w:val="20"/>
      </w:rPr>
      <w:t>Tom J.</w:t>
    </w:r>
    <w:r w:rsidR="00CF4D86">
      <w:rPr>
        <w:b/>
        <w:bCs/>
        <w:sz w:val="20"/>
        <w:szCs w:val="20"/>
      </w:rPr>
      <w:t xml:space="preserve"> Newsome, PE, CFA</w:t>
    </w:r>
    <w:r w:rsidR="00CF4D86">
      <w:rPr>
        <w:b/>
        <w:bCs/>
        <w:sz w:val="20"/>
        <w:szCs w:val="20"/>
      </w:rPr>
      <w:tab/>
    </w:r>
    <w:r w:rsidR="00CF4D86">
      <w:rPr>
        <w:b/>
        <w:bCs/>
        <w:sz w:val="20"/>
        <w:szCs w:val="20"/>
      </w:rPr>
      <w:tab/>
    </w:r>
    <w:r w:rsidR="00CF4D86">
      <w:rPr>
        <w:b/>
        <w:bCs/>
        <w:sz w:val="20"/>
        <w:szCs w:val="20"/>
      </w:rPr>
      <w:tab/>
    </w:r>
    <w:r w:rsidR="00CF4D86">
      <w:rPr>
        <w:b/>
        <w:bCs/>
        <w:sz w:val="20"/>
        <w:szCs w:val="20"/>
      </w:rPr>
      <w:tab/>
    </w:r>
    <w:r w:rsidR="00CF4D86">
      <w:rPr>
        <w:b/>
        <w:bCs/>
        <w:sz w:val="20"/>
        <w:szCs w:val="20"/>
      </w:rPr>
      <w:tab/>
      <w:t xml:space="preserve">       2015 FUEL COST </w:t>
    </w:r>
    <w:r>
      <w:rPr>
        <w:b/>
        <w:bCs/>
        <w:sz w:val="20"/>
        <w:szCs w:val="20"/>
      </w:rPr>
      <w:t>RECOVERY CASE (FCR-24)</w:t>
    </w:r>
  </w:p>
  <w:p w:rsidR="00432CF8" w:rsidRDefault="00432CF8" w:rsidP="00834DD5">
    <w:pPr>
      <w:pStyle w:val="Header"/>
      <w:pBdr>
        <w:top w:val="single" w:sz="4" w:space="18" w:color="auto"/>
        <w:left w:val="single" w:sz="4" w:space="4" w:color="auto"/>
        <w:bottom w:val="single" w:sz="4" w:space="1" w:color="auto"/>
        <w:right w:val="single" w:sz="4" w:space="4" w:color="auto"/>
      </w:pBdr>
      <w:tabs>
        <w:tab w:val="clear" w:pos="4320"/>
        <w:tab w:val="clear" w:pos="8640"/>
        <w:tab w:val="left" w:pos="-270"/>
        <w:tab w:val="center" w:pos="5580"/>
        <w:tab w:val="left" w:pos="5670"/>
        <w:tab w:val="left" w:pos="5760"/>
        <w:tab w:val="left" w:pos="5940"/>
        <w:tab w:val="left" w:pos="6030"/>
        <w:tab w:val="left" w:pos="6210"/>
        <w:tab w:val="left" w:pos="6300"/>
        <w:tab w:val="left" w:pos="6390"/>
        <w:tab w:val="left" w:pos="6570"/>
        <w:tab w:val="right" w:pos="9000"/>
      </w:tabs>
    </w:pPr>
    <w:r>
      <w:rPr>
        <w:b/>
        <w:bCs/>
        <w:sz w:val="20"/>
        <w:szCs w:val="20"/>
      </w:rPr>
      <w:t xml:space="preserve">Page </w:t>
    </w:r>
    <w:r w:rsidR="00D11584">
      <w:rPr>
        <w:rStyle w:val="PageNumber"/>
        <w:b/>
        <w:bCs/>
        <w:sz w:val="20"/>
        <w:szCs w:val="20"/>
      </w:rPr>
      <w:fldChar w:fldCharType="begin"/>
    </w:r>
    <w:r>
      <w:rPr>
        <w:rStyle w:val="PageNumber"/>
        <w:b/>
        <w:bCs/>
        <w:sz w:val="20"/>
        <w:szCs w:val="20"/>
      </w:rPr>
      <w:instrText xml:space="preserve"> PAGE </w:instrText>
    </w:r>
    <w:r w:rsidR="00D11584">
      <w:rPr>
        <w:rStyle w:val="PageNumber"/>
        <w:b/>
        <w:bCs/>
        <w:sz w:val="20"/>
        <w:szCs w:val="20"/>
      </w:rPr>
      <w:fldChar w:fldCharType="separate"/>
    </w:r>
    <w:r w:rsidR="00981661">
      <w:rPr>
        <w:rStyle w:val="PageNumber"/>
        <w:b/>
        <w:bCs/>
        <w:noProof/>
        <w:sz w:val="20"/>
        <w:szCs w:val="20"/>
      </w:rPr>
      <w:t>22</w:t>
    </w:r>
    <w:r w:rsidR="00D11584">
      <w:rPr>
        <w:rStyle w:val="PageNumber"/>
        <w:b/>
        <w:bCs/>
        <w:sz w:val="20"/>
        <w:szCs w:val="20"/>
      </w:rPr>
      <w:fldChar w:fldCharType="end"/>
    </w:r>
    <w:r>
      <w:rPr>
        <w:rStyle w:val="PageNumber"/>
        <w:b/>
        <w:bCs/>
        <w:sz w:val="20"/>
        <w:szCs w:val="20"/>
      </w:rPr>
      <w:t xml:space="preserve"> of </w:t>
    </w:r>
    <w:r w:rsidR="00CF4D86">
      <w:rPr>
        <w:rStyle w:val="PageNumber"/>
        <w:b/>
        <w:bCs/>
        <w:sz w:val="20"/>
        <w:szCs w:val="20"/>
      </w:rPr>
      <w:t>22</w:t>
    </w:r>
    <w:r>
      <w:rPr>
        <w:rStyle w:val="PageNumber"/>
        <w:b/>
        <w:bCs/>
        <w:sz w:val="20"/>
        <w:szCs w:val="20"/>
      </w:rPr>
      <w:tab/>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2CF8" w:rsidRPr="0096233D" w:rsidRDefault="00432CF8" w:rsidP="0096233D">
    <w:pPr>
      <w:pStyle w:val="Header"/>
      <w:rPr>
        <w:szCs w:val="20"/>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2CF8" w:rsidRPr="00981661" w:rsidRDefault="00432CF8" w:rsidP="0098166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163FEF"/>
    <w:multiLevelType w:val="hybridMultilevel"/>
    <w:tmpl w:val="C5ACCE28"/>
    <w:lvl w:ilvl="0" w:tplc="93D6E4A2">
      <w:start w:val="1"/>
      <w:numFmt w:val="bullet"/>
      <w:lvlText w:val=""/>
      <w:lvlJc w:val="left"/>
      <w:pPr>
        <w:tabs>
          <w:tab w:val="num" w:pos="720"/>
        </w:tabs>
        <w:ind w:left="720" w:hanging="360"/>
      </w:pPr>
      <w:rPr>
        <w:rFonts w:ascii="ZapfDingbats BT" w:hAnsi="ZapfDingbats BT" w:cs="ZapfDingbats BT" w:hint="default"/>
        <w:sz w:val="10"/>
        <w:szCs w:val="1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
    <w:nsid w:val="2B1B7685"/>
    <w:multiLevelType w:val="singleLevel"/>
    <w:tmpl w:val="9EE2F41C"/>
    <w:lvl w:ilvl="0">
      <w:start w:val="1"/>
      <w:numFmt w:val="none"/>
      <w:pStyle w:val="Question"/>
      <w:lvlText w:val="%1Q."/>
      <w:lvlJc w:val="left"/>
      <w:pPr>
        <w:tabs>
          <w:tab w:val="num" w:pos="360"/>
        </w:tabs>
        <w:ind w:left="360" w:hanging="360"/>
      </w:pPr>
    </w:lvl>
  </w:abstractNum>
  <w:abstractNum w:abstractNumId="2">
    <w:nsid w:val="510616AE"/>
    <w:multiLevelType w:val="singleLevel"/>
    <w:tmpl w:val="0409000F"/>
    <w:lvl w:ilvl="0">
      <w:start w:val="1"/>
      <w:numFmt w:val="decimal"/>
      <w:lvlText w:val="%1."/>
      <w:lvlJc w:val="left"/>
      <w:pPr>
        <w:tabs>
          <w:tab w:val="num" w:pos="360"/>
        </w:tabs>
        <w:ind w:left="360" w:hanging="360"/>
      </w:pPr>
    </w:lvl>
  </w:abstractNum>
  <w:abstractNum w:abstractNumId="3">
    <w:nsid w:val="5174C16D"/>
    <w:multiLevelType w:val="singleLevel"/>
    <w:tmpl w:val="36DBFED2"/>
    <w:lvl w:ilvl="0">
      <w:start w:val="8"/>
      <w:numFmt w:val="decimal"/>
      <w:lvlText w:val="%1."/>
      <w:lvlJc w:val="left"/>
      <w:pPr>
        <w:tabs>
          <w:tab w:val="num" w:pos="720"/>
        </w:tabs>
        <w:ind w:left="720" w:hanging="720"/>
      </w:pPr>
      <w:rPr>
        <w:color w:val="000000"/>
      </w:rPr>
    </w:lvl>
  </w:abstractNum>
  <w:abstractNum w:abstractNumId="4">
    <w:nsid w:val="75CE32CE"/>
    <w:multiLevelType w:val="hybridMultilevel"/>
    <w:tmpl w:val="AB7893A6"/>
    <w:lvl w:ilvl="0" w:tplc="B60436AC">
      <w:start w:val="1"/>
      <w:numFmt w:val="upperLetter"/>
      <w:pStyle w:val="Response"/>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num w:numId="1">
    <w:abstractNumId w:val="1"/>
  </w:num>
  <w:num w:numId="2">
    <w:abstractNumId w:val="4"/>
  </w:num>
  <w:num w:numId="3">
    <w:abstractNumId w:val="2"/>
  </w:num>
  <w:num w:numId="4">
    <w:abstractNumId w:val="0"/>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defaultTabStop w:val="720"/>
  <w:doNotHyphenateCaps/>
  <w:drawingGridHorizontalSpacing w:val="120"/>
  <w:displayHorizontalDrawingGridEvery w:val="0"/>
  <w:displayVerticalDrawingGridEvery w:val="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B1B42"/>
    <w:rsid w:val="00001DB8"/>
    <w:rsid w:val="00004634"/>
    <w:rsid w:val="00005194"/>
    <w:rsid w:val="00010485"/>
    <w:rsid w:val="00010D72"/>
    <w:rsid w:val="000119B9"/>
    <w:rsid w:val="00011B2C"/>
    <w:rsid w:val="00011C1F"/>
    <w:rsid w:val="0001267E"/>
    <w:rsid w:val="000158A2"/>
    <w:rsid w:val="00016709"/>
    <w:rsid w:val="00022D6A"/>
    <w:rsid w:val="00024002"/>
    <w:rsid w:val="000251D4"/>
    <w:rsid w:val="00025D44"/>
    <w:rsid w:val="000301AE"/>
    <w:rsid w:val="0003126B"/>
    <w:rsid w:val="00031DA7"/>
    <w:rsid w:val="00033E88"/>
    <w:rsid w:val="00034B8F"/>
    <w:rsid w:val="00036FB6"/>
    <w:rsid w:val="000375FB"/>
    <w:rsid w:val="00040992"/>
    <w:rsid w:val="00041A99"/>
    <w:rsid w:val="00042056"/>
    <w:rsid w:val="00044D8E"/>
    <w:rsid w:val="000458C5"/>
    <w:rsid w:val="00047C9E"/>
    <w:rsid w:val="0005058F"/>
    <w:rsid w:val="00051830"/>
    <w:rsid w:val="0005697E"/>
    <w:rsid w:val="0006143E"/>
    <w:rsid w:val="0006208C"/>
    <w:rsid w:val="00066BE5"/>
    <w:rsid w:val="00067F0B"/>
    <w:rsid w:val="000706B6"/>
    <w:rsid w:val="0007113B"/>
    <w:rsid w:val="000712EE"/>
    <w:rsid w:val="00072B2D"/>
    <w:rsid w:val="00072FDF"/>
    <w:rsid w:val="000733C7"/>
    <w:rsid w:val="000757EA"/>
    <w:rsid w:val="00075D5D"/>
    <w:rsid w:val="00076A82"/>
    <w:rsid w:val="000807CD"/>
    <w:rsid w:val="00082C72"/>
    <w:rsid w:val="00083188"/>
    <w:rsid w:val="00084DCE"/>
    <w:rsid w:val="00084EC9"/>
    <w:rsid w:val="00091830"/>
    <w:rsid w:val="00092250"/>
    <w:rsid w:val="00095312"/>
    <w:rsid w:val="000955BA"/>
    <w:rsid w:val="00095709"/>
    <w:rsid w:val="00097EA1"/>
    <w:rsid w:val="000A05AB"/>
    <w:rsid w:val="000A1314"/>
    <w:rsid w:val="000A1948"/>
    <w:rsid w:val="000A1F14"/>
    <w:rsid w:val="000A631C"/>
    <w:rsid w:val="000A6EBE"/>
    <w:rsid w:val="000B0560"/>
    <w:rsid w:val="000B1743"/>
    <w:rsid w:val="000B2EE8"/>
    <w:rsid w:val="000B31A3"/>
    <w:rsid w:val="000B34F9"/>
    <w:rsid w:val="000B3E39"/>
    <w:rsid w:val="000B4593"/>
    <w:rsid w:val="000B5310"/>
    <w:rsid w:val="000B5475"/>
    <w:rsid w:val="000B704C"/>
    <w:rsid w:val="000C4065"/>
    <w:rsid w:val="000C5983"/>
    <w:rsid w:val="000C5DBC"/>
    <w:rsid w:val="000C665F"/>
    <w:rsid w:val="000C6872"/>
    <w:rsid w:val="000C728F"/>
    <w:rsid w:val="000D1119"/>
    <w:rsid w:val="000D2144"/>
    <w:rsid w:val="000D21F0"/>
    <w:rsid w:val="000D4D62"/>
    <w:rsid w:val="000D5860"/>
    <w:rsid w:val="000D5D9A"/>
    <w:rsid w:val="000D75FF"/>
    <w:rsid w:val="000E04B1"/>
    <w:rsid w:val="000E0AAE"/>
    <w:rsid w:val="000E0EF8"/>
    <w:rsid w:val="000E1434"/>
    <w:rsid w:val="000E149A"/>
    <w:rsid w:val="000E3A1B"/>
    <w:rsid w:val="000E4274"/>
    <w:rsid w:val="000E659E"/>
    <w:rsid w:val="000E6BC3"/>
    <w:rsid w:val="000F09E0"/>
    <w:rsid w:val="000F1911"/>
    <w:rsid w:val="000F33A0"/>
    <w:rsid w:val="000F3F94"/>
    <w:rsid w:val="00100A07"/>
    <w:rsid w:val="00101704"/>
    <w:rsid w:val="00101DE6"/>
    <w:rsid w:val="00101F73"/>
    <w:rsid w:val="0010792F"/>
    <w:rsid w:val="001111B2"/>
    <w:rsid w:val="00111A72"/>
    <w:rsid w:val="00113AD5"/>
    <w:rsid w:val="0011437D"/>
    <w:rsid w:val="00120B21"/>
    <w:rsid w:val="001211C5"/>
    <w:rsid w:val="0012632F"/>
    <w:rsid w:val="00126AB9"/>
    <w:rsid w:val="001302DC"/>
    <w:rsid w:val="001350CA"/>
    <w:rsid w:val="00136479"/>
    <w:rsid w:val="00137F79"/>
    <w:rsid w:val="00140BBB"/>
    <w:rsid w:val="0014112F"/>
    <w:rsid w:val="001415D8"/>
    <w:rsid w:val="001432A4"/>
    <w:rsid w:val="001439D5"/>
    <w:rsid w:val="0014470C"/>
    <w:rsid w:val="001451AA"/>
    <w:rsid w:val="001516B1"/>
    <w:rsid w:val="00155E09"/>
    <w:rsid w:val="0016044E"/>
    <w:rsid w:val="00161A81"/>
    <w:rsid w:val="00161C0E"/>
    <w:rsid w:val="00163E9C"/>
    <w:rsid w:val="00167FE8"/>
    <w:rsid w:val="00171336"/>
    <w:rsid w:val="00171B56"/>
    <w:rsid w:val="00173045"/>
    <w:rsid w:val="00173338"/>
    <w:rsid w:val="001741F9"/>
    <w:rsid w:val="00174B47"/>
    <w:rsid w:val="00175716"/>
    <w:rsid w:val="00177162"/>
    <w:rsid w:val="00180F0C"/>
    <w:rsid w:val="001826D8"/>
    <w:rsid w:val="001829CE"/>
    <w:rsid w:val="00185343"/>
    <w:rsid w:val="001855D2"/>
    <w:rsid w:val="001863E8"/>
    <w:rsid w:val="00191500"/>
    <w:rsid w:val="00194680"/>
    <w:rsid w:val="00194C62"/>
    <w:rsid w:val="00195F80"/>
    <w:rsid w:val="001978B0"/>
    <w:rsid w:val="001A0E27"/>
    <w:rsid w:val="001A176F"/>
    <w:rsid w:val="001A277B"/>
    <w:rsid w:val="001A32E1"/>
    <w:rsid w:val="001A58C0"/>
    <w:rsid w:val="001A6625"/>
    <w:rsid w:val="001A7832"/>
    <w:rsid w:val="001A7DE6"/>
    <w:rsid w:val="001B1763"/>
    <w:rsid w:val="001B3C54"/>
    <w:rsid w:val="001B4A0B"/>
    <w:rsid w:val="001B62A2"/>
    <w:rsid w:val="001B6A1D"/>
    <w:rsid w:val="001C08D2"/>
    <w:rsid w:val="001C1989"/>
    <w:rsid w:val="001C2282"/>
    <w:rsid w:val="001C24E4"/>
    <w:rsid w:val="001C2C96"/>
    <w:rsid w:val="001C47B9"/>
    <w:rsid w:val="001C4BDB"/>
    <w:rsid w:val="001C5485"/>
    <w:rsid w:val="001C60E8"/>
    <w:rsid w:val="001D0A7F"/>
    <w:rsid w:val="001D622A"/>
    <w:rsid w:val="001D6946"/>
    <w:rsid w:val="001E1FF8"/>
    <w:rsid w:val="001E45D1"/>
    <w:rsid w:val="001E49ED"/>
    <w:rsid w:val="001E592A"/>
    <w:rsid w:val="001F110D"/>
    <w:rsid w:val="001F2D8D"/>
    <w:rsid w:val="001F3FF5"/>
    <w:rsid w:val="002011AA"/>
    <w:rsid w:val="002018D2"/>
    <w:rsid w:val="00201B46"/>
    <w:rsid w:val="0020205D"/>
    <w:rsid w:val="00203E15"/>
    <w:rsid w:val="00203FE7"/>
    <w:rsid w:val="00205D5B"/>
    <w:rsid w:val="00205F6F"/>
    <w:rsid w:val="00206801"/>
    <w:rsid w:val="00206EA9"/>
    <w:rsid w:val="002070BD"/>
    <w:rsid w:val="00207748"/>
    <w:rsid w:val="00211535"/>
    <w:rsid w:val="002122B7"/>
    <w:rsid w:val="00212E75"/>
    <w:rsid w:val="00212F0E"/>
    <w:rsid w:val="00217E95"/>
    <w:rsid w:val="00221817"/>
    <w:rsid w:val="0022383E"/>
    <w:rsid w:val="00224C76"/>
    <w:rsid w:val="002258F4"/>
    <w:rsid w:val="00227BBA"/>
    <w:rsid w:val="002312CD"/>
    <w:rsid w:val="00232FFB"/>
    <w:rsid w:val="00233339"/>
    <w:rsid w:val="002337B3"/>
    <w:rsid w:val="00235477"/>
    <w:rsid w:val="00235B0B"/>
    <w:rsid w:val="00235EF4"/>
    <w:rsid w:val="0023614E"/>
    <w:rsid w:val="0023662B"/>
    <w:rsid w:val="00241148"/>
    <w:rsid w:val="0024543A"/>
    <w:rsid w:val="002460FE"/>
    <w:rsid w:val="002473AF"/>
    <w:rsid w:val="00247738"/>
    <w:rsid w:val="00250023"/>
    <w:rsid w:val="002530E8"/>
    <w:rsid w:val="00255188"/>
    <w:rsid w:val="002555F4"/>
    <w:rsid w:val="0025578D"/>
    <w:rsid w:val="00256219"/>
    <w:rsid w:val="00260D9B"/>
    <w:rsid w:val="002645F6"/>
    <w:rsid w:val="002669D3"/>
    <w:rsid w:val="00270E1D"/>
    <w:rsid w:val="00270E69"/>
    <w:rsid w:val="00271613"/>
    <w:rsid w:val="0027314D"/>
    <w:rsid w:val="00273A20"/>
    <w:rsid w:val="00273A29"/>
    <w:rsid w:val="00275E83"/>
    <w:rsid w:val="00282795"/>
    <w:rsid w:val="00283583"/>
    <w:rsid w:val="00283EA7"/>
    <w:rsid w:val="0028446A"/>
    <w:rsid w:val="00284FE2"/>
    <w:rsid w:val="002851E5"/>
    <w:rsid w:val="00287CEB"/>
    <w:rsid w:val="00291BC3"/>
    <w:rsid w:val="002922D1"/>
    <w:rsid w:val="00292586"/>
    <w:rsid w:val="002939AE"/>
    <w:rsid w:val="0029440C"/>
    <w:rsid w:val="0029442A"/>
    <w:rsid w:val="00294B9F"/>
    <w:rsid w:val="00294F0B"/>
    <w:rsid w:val="00295863"/>
    <w:rsid w:val="0029622B"/>
    <w:rsid w:val="002A459A"/>
    <w:rsid w:val="002A6874"/>
    <w:rsid w:val="002A6D09"/>
    <w:rsid w:val="002B0EFA"/>
    <w:rsid w:val="002B1D67"/>
    <w:rsid w:val="002B26C9"/>
    <w:rsid w:val="002B2E3D"/>
    <w:rsid w:val="002B4775"/>
    <w:rsid w:val="002B5245"/>
    <w:rsid w:val="002B60F6"/>
    <w:rsid w:val="002B64CB"/>
    <w:rsid w:val="002B674A"/>
    <w:rsid w:val="002B79FF"/>
    <w:rsid w:val="002C2490"/>
    <w:rsid w:val="002C2628"/>
    <w:rsid w:val="002C4276"/>
    <w:rsid w:val="002C58C1"/>
    <w:rsid w:val="002C606C"/>
    <w:rsid w:val="002C701E"/>
    <w:rsid w:val="002D0905"/>
    <w:rsid w:val="002D1769"/>
    <w:rsid w:val="002D19D9"/>
    <w:rsid w:val="002D25B1"/>
    <w:rsid w:val="002D487F"/>
    <w:rsid w:val="002D5647"/>
    <w:rsid w:val="002E0DFD"/>
    <w:rsid w:val="002E1518"/>
    <w:rsid w:val="002E1526"/>
    <w:rsid w:val="002E324C"/>
    <w:rsid w:val="002E4F56"/>
    <w:rsid w:val="002E683B"/>
    <w:rsid w:val="002E75E3"/>
    <w:rsid w:val="002F360E"/>
    <w:rsid w:val="002F462C"/>
    <w:rsid w:val="002F4A5C"/>
    <w:rsid w:val="002F706B"/>
    <w:rsid w:val="00300A25"/>
    <w:rsid w:val="00303319"/>
    <w:rsid w:val="00303B6B"/>
    <w:rsid w:val="00304B80"/>
    <w:rsid w:val="003050E0"/>
    <w:rsid w:val="00305B35"/>
    <w:rsid w:val="0030639A"/>
    <w:rsid w:val="00306E02"/>
    <w:rsid w:val="0030784E"/>
    <w:rsid w:val="00307C29"/>
    <w:rsid w:val="00311A24"/>
    <w:rsid w:val="00312D09"/>
    <w:rsid w:val="0031379F"/>
    <w:rsid w:val="00313939"/>
    <w:rsid w:val="003143AB"/>
    <w:rsid w:val="00314A27"/>
    <w:rsid w:val="00316538"/>
    <w:rsid w:val="00320C21"/>
    <w:rsid w:val="00321279"/>
    <w:rsid w:val="00322314"/>
    <w:rsid w:val="003257DF"/>
    <w:rsid w:val="003302C9"/>
    <w:rsid w:val="0033047D"/>
    <w:rsid w:val="00330BC2"/>
    <w:rsid w:val="003322FC"/>
    <w:rsid w:val="003330DD"/>
    <w:rsid w:val="00334214"/>
    <w:rsid w:val="00337680"/>
    <w:rsid w:val="00343862"/>
    <w:rsid w:val="00344061"/>
    <w:rsid w:val="003440AE"/>
    <w:rsid w:val="00344169"/>
    <w:rsid w:val="00346342"/>
    <w:rsid w:val="0034768B"/>
    <w:rsid w:val="0035046F"/>
    <w:rsid w:val="00350F97"/>
    <w:rsid w:val="00351756"/>
    <w:rsid w:val="00351F4D"/>
    <w:rsid w:val="00353F19"/>
    <w:rsid w:val="0035483B"/>
    <w:rsid w:val="00355066"/>
    <w:rsid w:val="00356C18"/>
    <w:rsid w:val="00357629"/>
    <w:rsid w:val="0035780E"/>
    <w:rsid w:val="003613FC"/>
    <w:rsid w:val="003635CD"/>
    <w:rsid w:val="0036410E"/>
    <w:rsid w:val="00364294"/>
    <w:rsid w:val="00366138"/>
    <w:rsid w:val="00366E65"/>
    <w:rsid w:val="003703D6"/>
    <w:rsid w:val="00370DAE"/>
    <w:rsid w:val="003728F4"/>
    <w:rsid w:val="003735CA"/>
    <w:rsid w:val="0037457A"/>
    <w:rsid w:val="00374F5F"/>
    <w:rsid w:val="003756B1"/>
    <w:rsid w:val="003775B5"/>
    <w:rsid w:val="00377EC2"/>
    <w:rsid w:val="00380A6B"/>
    <w:rsid w:val="003812DE"/>
    <w:rsid w:val="00382448"/>
    <w:rsid w:val="00383969"/>
    <w:rsid w:val="00384904"/>
    <w:rsid w:val="00385F5F"/>
    <w:rsid w:val="003860C4"/>
    <w:rsid w:val="00386978"/>
    <w:rsid w:val="00392241"/>
    <w:rsid w:val="0039358B"/>
    <w:rsid w:val="00394D24"/>
    <w:rsid w:val="00395837"/>
    <w:rsid w:val="003968E7"/>
    <w:rsid w:val="00397015"/>
    <w:rsid w:val="003A0563"/>
    <w:rsid w:val="003A0F34"/>
    <w:rsid w:val="003A3978"/>
    <w:rsid w:val="003A45D4"/>
    <w:rsid w:val="003A51F4"/>
    <w:rsid w:val="003A56ED"/>
    <w:rsid w:val="003A73AF"/>
    <w:rsid w:val="003B2873"/>
    <w:rsid w:val="003B39BE"/>
    <w:rsid w:val="003B39D9"/>
    <w:rsid w:val="003B7699"/>
    <w:rsid w:val="003C05E9"/>
    <w:rsid w:val="003C16FC"/>
    <w:rsid w:val="003C1C66"/>
    <w:rsid w:val="003C2205"/>
    <w:rsid w:val="003C22E7"/>
    <w:rsid w:val="003C3774"/>
    <w:rsid w:val="003C57BB"/>
    <w:rsid w:val="003C7670"/>
    <w:rsid w:val="003C76F4"/>
    <w:rsid w:val="003D00FB"/>
    <w:rsid w:val="003D1F89"/>
    <w:rsid w:val="003D2633"/>
    <w:rsid w:val="003D4DE8"/>
    <w:rsid w:val="003D6284"/>
    <w:rsid w:val="003E1B69"/>
    <w:rsid w:val="003E1F95"/>
    <w:rsid w:val="003E2B16"/>
    <w:rsid w:val="003E4D14"/>
    <w:rsid w:val="003E5739"/>
    <w:rsid w:val="003E5CA8"/>
    <w:rsid w:val="003E62C4"/>
    <w:rsid w:val="003E6722"/>
    <w:rsid w:val="003E7A49"/>
    <w:rsid w:val="003F0070"/>
    <w:rsid w:val="003F0274"/>
    <w:rsid w:val="003F070B"/>
    <w:rsid w:val="003F0CC0"/>
    <w:rsid w:val="003F4DC7"/>
    <w:rsid w:val="003F4EDD"/>
    <w:rsid w:val="003F53F4"/>
    <w:rsid w:val="003F6B03"/>
    <w:rsid w:val="003F7A75"/>
    <w:rsid w:val="004000B3"/>
    <w:rsid w:val="00402E87"/>
    <w:rsid w:val="0040399E"/>
    <w:rsid w:val="00403A52"/>
    <w:rsid w:val="004053B7"/>
    <w:rsid w:val="00406639"/>
    <w:rsid w:val="0041293E"/>
    <w:rsid w:val="004130B0"/>
    <w:rsid w:val="00414579"/>
    <w:rsid w:val="00414964"/>
    <w:rsid w:val="00414F9F"/>
    <w:rsid w:val="00415101"/>
    <w:rsid w:val="00415D47"/>
    <w:rsid w:val="00417867"/>
    <w:rsid w:val="004178C6"/>
    <w:rsid w:val="00420519"/>
    <w:rsid w:val="00421DFA"/>
    <w:rsid w:val="00422325"/>
    <w:rsid w:val="004245E3"/>
    <w:rsid w:val="00424939"/>
    <w:rsid w:val="004257E4"/>
    <w:rsid w:val="00425CC8"/>
    <w:rsid w:val="00427077"/>
    <w:rsid w:val="004276B3"/>
    <w:rsid w:val="00431A6F"/>
    <w:rsid w:val="004324FC"/>
    <w:rsid w:val="00432CF8"/>
    <w:rsid w:val="00433323"/>
    <w:rsid w:val="00433E8C"/>
    <w:rsid w:val="004340D9"/>
    <w:rsid w:val="004369AC"/>
    <w:rsid w:val="00436F3E"/>
    <w:rsid w:val="00437EE6"/>
    <w:rsid w:val="004435E7"/>
    <w:rsid w:val="00444B91"/>
    <w:rsid w:val="00445AE9"/>
    <w:rsid w:val="004466CA"/>
    <w:rsid w:val="004473A4"/>
    <w:rsid w:val="00451B60"/>
    <w:rsid w:val="004527E9"/>
    <w:rsid w:val="0045357D"/>
    <w:rsid w:val="00453FDE"/>
    <w:rsid w:val="004559C9"/>
    <w:rsid w:val="00456333"/>
    <w:rsid w:val="004565E1"/>
    <w:rsid w:val="00456C4F"/>
    <w:rsid w:val="00461215"/>
    <w:rsid w:val="004632F4"/>
    <w:rsid w:val="0046378F"/>
    <w:rsid w:val="004654AB"/>
    <w:rsid w:val="00465609"/>
    <w:rsid w:val="004666A9"/>
    <w:rsid w:val="00467841"/>
    <w:rsid w:val="00471916"/>
    <w:rsid w:val="00474317"/>
    <w:rsid w:val="00475FA0"/>
    <w:rsid w:val="00481C1B"/>
    <w:rsid w:val="004854C7"/>
    <w:rsid w:val="00487FF8"/>
    <w:rsid w:val="0049081E"/>
    <w:rsid w:val="00490826"/>
    <w:rsid w:val="004908F2"/>
    <w:rsid w:val="00490EAA"/>
    <w:rsid w:val="00493C04"/>
    <w:rsid w:val="004953B1"/>
    <w:rsid w:val="004966B8"/>
    <w:rsid w:val="004979AA"/>
    <w:rsid w:val="00497EE5"/>
    <w:rsid w:val="004A077B"/>
    <w:rsid w:val="004A3CBA"/>
    <w:rsid w:val="004B3629"/>
    <w:rsid w:val="004B4556"/>
    <w:rsid w:val="004B56D8"/>
    <w:rsid w:val="004C0121"/>
    <w:rsid w:val="004C23A0"/>
    <w:rsid w:val="004C5348"/>
    <w:rsid w:val="004C5EAC"/>
    <w:rsid w:val="004C62F3"/>
    <w:rsid w:val="004D04F4"/>
    <w:rsid w:val="004D0BD7"/>
    <w:rsid w:val="004D0EA3"/>
    <w:rsid w:val="004D16FB"/>
    <w:rsid w:val="004D2F7B"/>
    <w:rsid w:val="004D6506"/>
    <w:rsid w:val="004E4226"/>
    <w:rsid w:val="004E629F"/>
    <w:rsid w:val="004F19AD"/>
    <w:rsid w:val="004F4D6A"/>
    <w:rsid w:val="004F50A1"/>
    <w:rsid w:val="004F607B"/>
    <w:rsid w:val="004F6E6C"/>
    <w:rsid w:val="00502CA9"/>
    <w:rsid w:val="00503B87"/>
    <w:rsid w:val="005040EC"/>
    <w:rsid w:val="00506442"/>
    <w:rsid w:val="005073C3"/>
    <w:rsid w:val="005110C6"/>
    <w:rsid w:val="0051218D"/>
    <w:rsid w:val="00515DFD"/>
    <w:rsid w:val="0051661B"/>
    <w:rsid w:val="005175C4"/>
    <w:rsid w:val="00525B30"/>
    <w:rsid w:val="0053252C"/>
    <w:rsid w:val="00533BFC"/>
    <w:rsid w:val="005341A5"/>
    <w:rsid w:val="00534899"/>
    <w:rsid w:val="00540BA8"/>
    <w:rsid w:val="00541446"/>
    <w:rsid w:val="00542E35"/>
    <w:rsid w:val="00544941"/>
    <w:rsid w:val="00546B0E"/>
    <w:rsid w:val="0054709B"/>
    <w:rsid w:val="00547941"/>
    <w:rsid w:val="0055102A"/>
    <w:rsid w:val="00551849"/>
    <w:rsid w:val="00552884"/>
    <w:rsid w:val="005532ED"/>
    <w:rsid w:val="0055377D"/>
    <w:rsid w:val="005544C8"/>
    <w:rsid w:val="005548DF"/>
    <w:rsid w:val="00556451"/>
    <w:rsid w:val="00557628"/>
    <w:rsid w:val="00561AE2"/>
    <w:rsid w:val="00561E88"/>
    <w:rsid w:val="0056262D"/>
    <w:rsid w:val="00562E2A"/>
    <w:rsid w:val="00566DCC"/>
    <w:rsid w:val="00567928"/>
    <w:rsid w:val="00570020"/>
    <w:rsid w:val="00571F54"/>
    <w:rsid w:val="005733E6"/>
    <w:rsid w:val="00573B48"/>
    <w:rsid w:val="00573B8F"/>
    <w:rsid w:val="00574DA2"/>
    <w:rsid w:val="00575961"/>
    <w:rsid w:val="00577054"/>
    <w:rsid w:val="005770A2"/>
    <w:rsid w:val="00577EB4"/>
    <w:rsid w:val="00581669"/>
    <w:rsid w:val="00581947"/>
    <w:rsid w:val="00581D94"/>
    <w:rsid w:val="00583143"/>
    <w:rsid w:val="00584B19"/>
    <w:rsid w:val="00585756"/>
    <w:rsid w:val="00585C94"/>
    <w:rsid w:val="00586765"/>
    <w:rsid w:val="0058737C"/>
    <w:rsid w:val="00587957"/>
    <w:rsid w:val="00591191"/>
    <w:rsid w:val="00591B9C"/>
    <w:rsid w:val="00592B85"/>
    <w:rsid w:val="0059321A"/>
    <w:rsid w:val="005967DE"/>
    <w:rsid w:val="00596A1D"/>
    <w:rsid w:val="005A025C"/>
    <w:rsid w:val="005A0791"/>
    <w:rsid w:val="005A2332"/>
    <w:rsid w:val="005A6E0E"/>
    <w:rsid w:val="005A7597"/>
    <w:rsid w:val="005B02B0"/>
    <w:rsid w:val="005B204B"/>
    <w:rsid w:val="005B2DA5"/>
    <w:rsid w:val="005B348C"/>
    <w:rsid w:val="005B4B52"/>
    <w:rsid w:val="005B5E5F"/>
    <w:rsid w:val="005B64D2"/>
    <w:rsid w:val="005B6630"/>
    <w:rsid w:val="005B6BA3"/>
    <w:rsid w:val="005B7EB3"/>
    <w:rsid w:val="005C00C3"/>
    <w:rsid w:val="005C63AA"/>
    <w:rsid w:val="005C6879"/>
    <w:rsid w:val="005C73DA"/>
    <w:rsid w:val="005D33CA"/>
    <w:rsid w:val="005D33E2"/>
    <w:rsid w:val="005D350A"/>
    <w:rsid w:val="005D4918"/>
    <w:rsid w:val="005D5B4A"/>
    <w:rsid w:val="005D6038"/>
    <w:rsid w:val="005D6837"/>
    <w:rsid w:val="005D7306"/>
    <w:rsid w:val="005E1228"/>
    <w:rsid w:val="005E1AB6"/>
    <w:rsid w:val="005E284F"/>
    <w:rsid w:val="005E3408"/>
    <w:rsid w:val="005E4F54"/>
    <w:rsid w:val="005E5F38"/>
    <w:rsid w:val="005E64A5"/>
    <w:rsid w:val="005F0675"/>
    <w:rsid w:val="005F13F2"/>
    <w:rsid w:val="005F2383"/>
    <w:rsid w:val="005F2718"/>
    <w:rsid w:val="005F30B7"/>
    <w:rsid w:val="005F43BF"/>
    <w:rsid w:val="005F6197"/>
    <w:rsid w:val="005F67B6"/>
    <w:rsid w:val="005F79A2"/>
    <w:rsid w:val="00600BFA"/>
    <w:rsid w:val="00600F7D"/>
    <w:rsid w:val="006026E1"/>
    <w:rsid w:val="00602DCD"/>
    <w:rsid w:val="00602E27"/>
    <w:rsid w:val="00603CA8"/>
    <w:rsid w:val="00603CB1"/>
    <w:rsid w:val="0060420D"/>
    <w:rsid w:val="006115CE"/>
    <w:rsid w:val="00612068"/>
    <w:rsid w:val="0061499D"/>
    <w:rsid w:val="006159AC"/>
    <w:rsid w:val="00621538"/>
    <w:rsid w:val="006224E3"/>
    <w:rsid w:val="006246C3"/>
    <w:rsid w:val="0062528B"/>
    <w:rsid w:val="006254B1"/>
    <w:rsid w:val="00626799"/>
    <w:rsid w:val="00626803"/>
    <w:rsid w:val="00630E87"/>
    <w:rsid w:val="0063239E"/>
    <w:rsid w:val="00632FFF"/>
    <w:rsid w:val="006349CE"/>
    <w:rsid w:val="006372B9"/>
    <w:rsid w:val="006407E8"/>
    <w:rsid w:val="00640B6E"/>
    <w:rsid w:val="006452FD"/>
    <w:rsid w:val="00645E3A"/>
    <w:rsid w:val="00646804"/>
    <w:rsid w:val="00652354"/>
    <w:rsid w:val="00652E09"/>
    <w:rsid w:val="00653A22"/>
    <w:rsid w:val="00660065"/>
    <w:rsid w:val="006630DF"/>
    <w:rsid w:val="00664544"/>
    <w:rsid w:val="00666335"/>
    <w:rsid w:val="00666E7F"/>
    <w:rsid w:val="00667780"/>
    <w:rsid w:val="00670F64"/>
    <w:rsid w:val="006721EE"/>
    <w:rsid w:val="00673CE3"/>
    <w:rsid w:val="006747D1"/>
    <w:rsid w:val="00674FF5"/>
    <w:rsid w:val="00676447"/>
    <w:rsid w:val="00677F31"/>
    <w:rsid w:val="00681476"/>
    <w:rsid w:val="006824D7"/>
    <w:rsid w:val="00683D15"/>
    <w:rsid w:val="0068420B"/>
    <w:rsid w:val="00684327"/>
    <w:rsid w:val="006847FD"/>
    <w:rsid w:val="006853CB"/>
    <w:rsid w:val="0068547C"/>
    <w:rsid w:val="0068606D"/>
    <w:rsid w:val="0068782A"/>
    <w:rsid w:val="00691FEB"/>
    <w:rsid w:val="00694EB8"/>
    <w:rsid w:val="006959C5"/>
    <w:rsid w:val="00696A21"/>
    <w:rsid w:val="006974C4"/>
    <w:rsid w:val="00697EC0"/>
    <w:rsid w:val="006A045F"/>
    <w:rsid w:val="006A07C4"/>
    <w:rsid w:val="006A4D58"/>
    <w:rsid w:val="006A60B4"/>
    <w:rsid w:val="006B087A"/>
    <w:rsid w:val="006B1658"/>
    <w:rsid w:val="006B19CF"/>
    <w:rsid w:val="006B37BB"/>
    <w:rsid w:val="006B7840"/>
    <w:rsid w:val="006C2010"/>
    <w:rsid w:val="006C6DF5"/>
    <w:rsid w:val="006C7E49"/>
    <w:rsid w:val="006D00E9"/>
    <w:rsid w:val="006D29C9"/>
    <w:rsid w:val="006E06A2"/>
    <w:rsid w:val="006E206F"/>
    <w:rsid w:val="006E46A4"/>
    <w:rsid w:val="006E4788"/>
    <w:rsid w:val="006E64B6"/>
    <w:rsid w:val="006E776A"/>
    <w:rsid w:val="006E7FAA"/>
    <w:rsid w:val="006F0AC2"/>
    <w:rsid w:val="006F131F"/>
    <w:rsid w:val="006F22CC"/>
    <w:rsid w:val="006F37FF"/>
    <w:rsid w:val="006F4515"/>
    <w:rsid w:val="006F552F"/>
    <w:rsid w:val="006F6168"/>
    <w:rsid w:val="006F61D7"/>
    <w:rsid w:val="006F78DF"/>
    <w:rsid w:val="00700A5C"/>
    <w:rsid w:val="00701468"/>
    <w:rsid w:val="00701C20"/>
    <w:rsid w:val="007024F0"/>
    <w:rsid w:val="00703F4F"/>
    <w:rsid w:val="00704319"/>
    <w:rsid w:val="00704D3B"/>
    <w:rsid w:val="00705A1C"/>
    <w:rsid w:val="00705F86"/>
    <w:rsid w:val="0070608B"/>
    <w:rsid w:val="007079D3"/>
    <w:rsid w:val="007123EF"/>
    <w:rsid w:val="007130E3"/>
    <w:rsid w:val="00713227"/>
    <w:rsid w:val="00715428"/>
    <w:rsid w:val="007162F3"/>
    <w:rsid w:val="0072137F"/>
    <w:rsid w:val="007217E9"/>
    <w:rsid w:val="00726856"/>
    <w:rsid w:val="00727706"/>
    <w:rsid w:val="00730029"/>
    <w:rsid w:val="00732D4A"/>
    <w:rsid w:val="00733021"/>
    <w:rsid w:val="007331C5"/>
    <w:rsid w:val="00733B5A"/>
    <w:rsid w:val="00733F50"/>
    <w:rsid w:val="00734C2E"/>
    <w:rsid w:val="0073538B"/>
    <w:rsid w:val="00735ACD"/>
    <w:rsid w:val="00735AF2"/>
    <w:rsid w:val="00736118"/>
    <w:rsid w:val="007375D7"/>
    <w:rsid w:val="00740DDC"/>
    <w:rsid w:val="00742DC9"/>
    <w:rsid w:val="00743462"/>
    <w:rsid w:val="00743E38"/>
    <w:rsid w:val="00746063"/>
    <w:rsid w:val="0074724D"/>
    <w:rsid w:val="00747485"/>
    <w:rsid w:val="00751801"/>
    <w:rsid w:val="00752AE7"/>
    <w:rsid w:val="00753A20"/>
    <w:rsid w:val="00753D7E"/>
    <w:rsid w:val="00753FC1"/>
    <w:rsid w:val="00754A36"/>
    <w:rsid w:val="007558EF"/>
    <w:rsid w:val="00755D1B"/>
    <w:rsid w:val="00755D80"/>
    <w:rsid w:val="0075690E"/>
    <w:rsid w:val="00760946"/>
    <w:rsid w:val="00760BC0"/>
    <w:rsid w:val="00762EDE"/>
    <w:rsid w:val="007630C7"/>
    <w:rsid w:val="00763C1C"/>
    <w:rsid w:val="00763EE4"/>
    <w:rsid w:val="00765457"/>
    <w:rsid w:val="00765CEC"/>
    <w:rsid w:val="00765DD9"/>
    <w:rsid w:val="007676B4"/>
    <w:rsid w:val="00770DD1"/>
    <w:rsid w:val="00770DE3"/>
    <w:rsid w:val="00772533"/>
    <w:rsid w:val="0077367B"/>
    <w:rsid w:val="007736A5"/>
    <w:rsid w:val="00774601"/>
    <w:rsid w:val="00775F7C"/>
    <w:rsid w:val="00776494"/>
    <w:rsid w:val="0077714C"/>
    <w:rsid w:val="00782320"/>
    <w:rsid w:val="0078253A"/>
    <w:rsid w:val="00784944"/>
    <w:rsid w:val="00785647"/>
    <w:rsid w:val="00787B2B"/>
    <w:rsid w:val="007913F1"/>
    <w:rsid w:val="007944FD"/>
    <w:rsid w:val="00796C6A"/>
    <w:rsid w:val="007A08E3"/>
    <w:rsid w:val="007A1140"/>
    <w:rsid w:val="007A2EE4"/>
    <w:rsid w:val="007A334F"/>
    <w:rsid w:val="007A6B3D"/>
    <w:rsid w:val="007A7AC9"/>
    <w:rsid w:val="007A7FC0"/>
    <w:rsid w:val="007B0D80"/>
    <w:rsid w:val="007B1EBF"/>
    <w:rsid w:val="007B330B"/>
    <w:rsid w:val="007B511B"/>
    <w:rsid w:val="007B6238"/>
    <w:rsid w:val="007B679C"/>
    <w:rsid w:val="007B6979"/>
    <w:rsid w:val="007C06A1"/>
    <w:rsid w:val="007C0D70"/>
    <w:rsid w:val="007C6807"/>
    <w:rsid w:val="007D0606"/>
    <w:rsid w:val="007D2A66"/>
    <w:rsid w:val="007D2F51"/>
    <w:rsid w:val="007D3FD5"/>
    <w:rsid w:val="007D57D5"/>
    <w:rsid w:val="007D5805"/>
    <w:rsid w:val="007D71C1"/>
    <w:rsid w:val="007E0041"/>
    <w:rsid w:val="007E47A3"/>
    <w:rsid w:val="007E4CB9"/>
    <w:rsid w:val="007E617F"/>
    <w:rsid w:val="007E61EC"/>
    <w:rsid w:val="007E72A7"/>
    <w:rsid w:val="007F0C0B"/>
    <w:rsid w:val="007F1D46"/>
    <w:rsid w:val="007F1DD6"/>
    <w:rsid w:val="007F24BC"/>
    <w:rsid w:val="007F2573"/>
    <w:rsid w:val="007F4951"/>
    <w:rsid w:val="007F5419"/>
    <w:rsid w:val="007F61E6"/>
    <w:rsid w:val="007F62B7"/>
    <w:rsid w:val="007F796C"/>
    <w:rsid w:val="008005E8"/>
    <w:rsid w:val="00801159"/>
    <w:rsid w:val="00803948"/>
    <w:rsid w:val="00804078"/>
    <w:rsid w:val="008040CD"/>
    <w:rsid w:val="0080452B"/>
    <w:rsid w:val="0080759A"/>
    <w:rsid w:val="008136AA"/>
    <w:rsid w:val="00813E5D"/>
    <w:rsid w:val="00814B8C"/>
    <w:rsid w:val="0081798B"/>
    <w:rsid w:val="008209DA"/>
    <w:rsid w:val="0082348D"/>
    <w:rsid w:val="00823B31"/>
    <w:rsid w:val="00824BEF"/>
    <w:rsid w:val="00825170"/>
    <w:rsid w:val="008251FA"/>
    <w:rsid w:val="00825D67"/>
    <w:rsid w:val="0082694F"/>
    <w:rsid w:val="00832CE8"/>
    <w:rsid w:val="0083350D"/>
    <w:rsid w:val="00834DD5"/>
    <w:rsid w:val="00836042"/>
    <w:rsid w:val="00836067"/>
    <w:rsid w:val="0083615D"/>
    <w:rsid w:val="00836E40"/>
    <w:rsid w:val="00837780"/>
    <w:rsid w:val="00841BF8"/>
    <w:rsid w:val="00841DB3"/>
    <w:rsid w:val="008422B4"/>
    <w:rsid w:val="00842D66"/>
    <w:rsid w:val="00846E69"/>
    <w:rsid w:val="00852878"/>
    <w:rsid w:val="00860103"/>
    <w:rsid w:val="008612AA"/>
    <w:rsid w:val="0086179D"/>
    <w:rsid w:val="008628CA"/>
    <w:rsid w:val="008640F4"/>
    <w:rsid w:val="00865B23"/>
    <w:rsid w:val="00870223"/>
    <w:rsid w:val="0087317D"/>
    <w:rsid w:val="00873E41"/>
    <w:rsid w:val="008744FE"/>
    <w:rsid w:val="00874882"/>
    <w:rsid w:val="0088280C"/>
    <w:rsid w:val="00883281"/>
    <w:rsid w:val="0088540A"/>
    <w:rsid w:val="00885489"/>
    <w:rsid w:val="00886981"/>
    <w:rsid w:val="00886D20"/>
    <w:rsid w:val="008871DA"/>
    <w:rsid w:val="0089319A"/>
    <w:rsid w:val="008955D4"/>
    <w:rsid w:val="00895FAB"/>
    <w:rsid w:val="008960A8"/>
    <w:rsid w:val="00896989"/>
    <w:rsid w:val="00897F23"/>
    <w:rsid w:val="008A098C"/>
    <w:rsid w:val="008A1960"/>
    <w:rsid w:val="008A3EB7"/>
    <w:rsid w:val="008A4DD3"/>
    <w:rsid w:val="008A5D32"/>
    <w:rsid w:val="008A5FEC"/>
    <w:rsid w:val="008A631F"/>
    <w:rsid w:val="008A6BA5"/>
    <w:rsid w:val="008A6D90"/>
    <w:rsid w:val="008B0483"/>
    <w:rsid w:val="008B076A"/>
    <w:rsid w:val="008B230F"/>
    <w:rsid w:val="008B2D43"/>
    <w:rsid w:val="008B345C"/>
    <w:rsid w:val="008B39EE"/>
    <w:rsid w:val="008B752D"/>
    <w:rsid w:val="008C08F6"/>
    <w:rsid w:val="008C0F74"/>
    <w:rsid w:val="008C4A5F"/>
    <w:rsid w:val="008C6D42"/>
    <w:rsid w:val="008C6F40"/>
    <w:rsid w:val="008D2E12"/>
    <w:rsid w:val="008D3599"/>
    <w:rsid w:val="008D4758"/>
    <w:rsid w:val="008D655C"/>
    <w:rsid w:val="008D74A2"/>
    <w:rsid w:val="008D7816"/>
    <w:rsid w:val="008D7F2F"/>
    <w:rsid w:val="008E08DA"/>
    <w:rsid w:val="008E156D"/>
    <w:rsid w:val="008E5099"/>
    <w:rsid w:val="008E7CD1"/>
    <w:rsid w:val="008F0ACD"/>
    <w:rsid w:val="00900734"/>
    <w:rsid w:val="00900B61"/>
    <w:rsid w:val="00902FC9"/>
    <w:rsid w:val="00904777"/>
    <w:rsid w:val="009061AC"/>
    <w:rsid w:val="00910468"/>
    <w:rsid w:val="0091116B"/>
    <w:rsid w:val="009135EA"/>
    <w:rsid w:val="00913DA7"/>
    <w:rsid w:val="0091404E"/>
    <w:rsid w:val="00916B8C"/>
    <w:rsid w:val="00917516"/>
    <w:rsid w:val="0092086E"/>
    <w:rsid w:val="009219F2"/>
    <w:rsid w:val="00921E46"/>
    <w:rsid w:val="0092503A"/>
    <w:rsid w:val="0092565C"/>
    <w:rsid w:val="00925788"/>
    <w:rsid w:val="009260EA"/>
    <w:rsid w:val="00926204"/>
    <w:rsid w:val="0093640D"/>
    <w:rsid w:val="00936802"/>
    <w:rsid w:val="00944570"/>
    <w:rsid w:val="00944CD8"/>
    <w:rsid w:val="00945189"/>
    <w:rsid w:val="0094531B"/>
    <w:rsid w:val="009467E6"/>
    <w:rsid w:val="0094720F"/>
    <w:rsid w:val="00947244"/>
    <w:rsid w:val="0094750C"/>
    <w:rsid w:val="00950DC0"/>
    <w:rsid w:val="00950FD4"/>
    <w:rsid w:val="009524B7"/>
    <w:rsid w:val="009524C0"/>
    <w:rsid w:val="009530B8"/>
    <w:rsid w:val="009536F1"/>
    <w:rsid w:val="00956771"/>
    <w:rsid w:val="0095799C"/>
    <w:rsid w:val="00960797"/>
    <w:rsid w:val="00961113"/>
    <w:rsid w:val="00962181"/>
    <w:rsid w:val="0096230B"/>
    <w:rsid w:val="0096233D"/>
    <w:rsid w:val="0096373F"/>
    <w:rsid w:val="009729C3"/>
    <w:rsid w:val="0097346F"/>
    <w:rsid w:val="00975D0F"/>
    <w:rsid w:val="00976444"/>
    <w:rsid w:val="00977D27"/>
    <w:rsid w:val="00980C29"/>
    <w:rsid w:val="00981661"/>
    <w:rsid w:val="00982C3F"/>
    <w:rsid w:val="00982D3A"/>
    <w:rsid w:val="00983B4C"/>
    <w:rsid w:val="00984F70"/>
    <w:rsid w:val="0098560E"/>
    <w:rsid w:val="00986D8B"/>
    <w:rsid w:val="0099017F"/>
    <w:rsid w:val="009924BE"/>
    <w:rsid w:val="00992B1F"/>
    <w:rsid w:val="009931D9"/>
    <w:rsid w:val="009956AD"/>
    <w:rsid w:val="009A32D9"/>
    <w:rsid w:val="009A4B82"/>
    <w:rsid w:val="009A5C29"/>
    <w:rsid w:val="009A5EFA"/>
    <w:rsid w:val="009B0192"/>
    <w:rsid w:val="009B26BA"/>
    <w:rsid w:val="009B27E3"/>
    <w:rsid w:val="009B42D6"/>
    <w:rsid w:val="009B42E3"/>
    <w:rsid w:val="009B497E"/>
    <w:rsid w:val="009B73B3"/>
    <w:rsid w:val="009B7EC0"/>
    <w:rsid w:val="009B7F60"/>
    <w:rsid w:val="009C295E"/>
    <w:rsid w:val="009C2C3E"/>
    <w:rsid w:val="009C2F0B"/>
    <w:rsid w:val="009C369B"/>
    <w:rsid w:val="009C3CA6"/>
    <w:rsid w:val="009C3F4C"/>
    <w:rsid w:val="009D102F"/>
    <w:rsid w:val="009D1FD6"/>
    <w:rsid w:val="009D7244"/>
    <w:rsid w:val="009D7A9D"/>
    <w:rsid w:val="009D7EF1"/>
    <w:rsid w:val="009E0B36"/>
    <w:rsid w:val="009E1224"/>
    <w:rsid w:val="009E26BE"/>
    <w:rsid w:val="009E4DE8"/>
    <w:rsid w:val="009E591E"/>
    <w:rsid w:val="009E6211"/>
    <w:rsid w:val="009E6849"/>
    <w:rsid w:val="009E71C0"/>
    <w:rsid w:val="009E7D47"/>
    <w:rsid w:val="009F399B"/>
    <w:rsid w:val="009F5668"/>
    <w:rsid w:val="009F6F6D"/>
    <w:rsid w:val="00A004F7"/>
    <w:rsid w:val="00A00FD4"/>
    <w:rsid w:val="00A024ED"/>
    <w:rsid w:val="00A02514"/>
    <w:rsid w:val="00A03F9A"/>
    <w:rsid w:val="00A05230"/>
    <w:rsid w:val="00A055FB"/>
    <w:rsid w:val="00A05789"/>
    <w:rsid w:val="00A060BC"/>
    <w:rsid w:val="00A1013E"/>
    <w:rsid w:val="00A11504"/>
    <w:rsid w:val="00A123CC"/>
    <w:rsid w:val="00A12DFE"/>
    <w:rsid w:val="00A12FDE"/>
    <w:rsid w:val="00A131E9"/>
    <w:rsid w:val="00A13C08"/>
    <w:rsid w:val="00A15905"/>
    <w:rsid w:val="00A16CF3"/>
    <w:rsid w:val="00A17BF8"/>
    <w:rsid w:val="00A23622"/>
    <w:rsid w:val="00A25814"/>
    <w:rsid w:val="00A33A70"/>
    <w:rsid w:val="00A35593"/>
    <w:rsid w:val="00A40EF9"/>
    <w:rsid w:val="00A42701"/>
    <w:rsid w:val="00A446A5"/>
    <w:rsid w:val="00A449C3"/>
    <w:rsid w:val="00A455F1"/>
    <w:rsid w:val="00A46DC8"/>
    <w:rsid w:val="00A47ED8"/>
    <w:rsid w:val="00A50F10"/>
    <w:rsid w:val="00A5120F"/>
    <w:rsid w:val="00A537E8"/>
    <w:rsid w:val="00A543A9"/>
    <w:rsid w:val="00A57088"/>
    <w:rsid w:val="00A6002A"/>
    <w:rsid w:val="00A60232"/>
    <w:rsid w:val="00A62E07"/>
    <w:rsid w:val="00A6354E"/>
    <w:rsid w:val="00A6389E"/>
    <w:rsid w:val="00A64036"/>
    <w:rsid w:val="00A66EEC"/>
    <w:rsid w:val="00A7259E"/>
    <w:rsid w:val="00A7684D"/>
    <w:rsid w:val="00A80B0A"/>
    <w:rsid w:val="00A812C9"/>
    <w:rsid w:val="00A82C88"/>
    <w:rsid w:val="00A83098"/>
    <w:rsid w:val="00A86033"/>
    <w:rsid w:val="00A91156"/>
    <w:rsid w:val="00A911CB"/>
    <w:rsid w:val="00A91B28"/>
    <w:rsid w:val="00A91C38"/>
    <w:rsid w:val="00A965D5"/>
    <w:rsid w:val="00A978A8"/>
    <w:rsid w:val="00AA117D"/>
    <w:rsid w:val="00AA1B88"/>
    <w:rsid w:val="00AA1C29"/>
    <w:rsid w:val="00AA3E11"/>
    <w:rsid w:val="00AA3E98"/>
    <w:rsid w:val="00AA5A6E"/>
    <w:rsid w:val="00AA63F0"/>
    <w:rsid w:val="00AA7007"/>
    <w:rsid w:val="00AB1B42"/>
    <w:rsid w:val="00AB1B89"/>
    <w:rsid w:val="00AB28E9"/>
    <w:rsid w:val="00AB42AE"/>
    <w:rsid w:val="00AB55BA"/>
    <w:rsid w:val="00AB616D"/>
    <w:rsid w:val="00AB61D1"/>
    <w:rsid w:val="00AB659D"/>
    <w:rsid w:val="00AB6630"/>
    <w:rsid w:val="00AB7EDE"/>
    <w:rsid w:val="00AC1851"/>
    <w:rsid w:val="00AC190B"/>
    <w:rsid w:val="00AC2303"/>
    <w:rsid w:val="00AC2351"/>
    <w:rsid w:val="00AC2C00"/>
    <w:rsid w:val="00AC3ABC"/>
    <w:rsid w:val="00AC3DE0"/>
    <w:rsid w:val="00AC3F94"/>
    <w:rsid w:val="00AC402B"/>
    <w:rsid w:val="00AC49D9"/>
    <w:rsid w:val="00AC53CE"/>
    <w:rsid w:val="00AC5665"/>
    <w:rsid w:val="00AC5F17"/>
    <w:rsid w:val="00AC6951"/>
    <w:rsid w:val="00AC6CDF"/>
    <w:rsid w:val="00AC7AE1"/>
    <w:rsid w:val="00AD06CA"/>
    <w:rsid w:val="00AD1A5B"/>
    <w:rsid w:val="00AD3DA1"/>
    <w:rsid w:val="00AD3E3D"/>
    <w:rsid w:val="00AD42DA"/>
    <w:rsid w:val="00AD580C"/>
    <w:rsid w:val="00AD7654"/>
    <w:rsid w:val="00AD7718"/>
    <w:rsid w:val="00AE0C3F"/>
    <w:rsid w:val="00AE1091"/>
    <w:rsid w:val="00AE1DAF"/>
    <w:rsid w:val="00AE2163"/>
    <w:rsid w:val="00AE29D3"/>
    <w:rsid w:val="00AE3740"/>
    <w:rsid w:val="00AE4397"/>
    <w:rsid w:val="00AE6355"/>
    <w:rsid w:val="00AE7169"/>
    <w:rsid w:val="00AE7294"/>
    <w:rsid w:val="00AE761E"/>
    <w:rsid w:val="00AF44EC"/>
    <w:rsid w:val="00B003A2"/>
    <w:rsid w:val="00B0257D"/>
    <w:rsid w:val="00B02959"/>
    <w:rsid w:val="00B114C7"/>
    <w:rsid w:val="00B11AEE"/>
    <w:rsid w:val="00B11E96"/>
    <w:rsid w:val="00B13A83"/>
    <w:rsid w:val="00B14492"/>
    <w:rsid w:val="00B162FB"/>
    <w:rsid w:val="00B17884"/>
    <w:rsid w:val="00B2055E"/>
    <w:rsid w:val="00B2118A"/>
    <w:rsid w:val="00B21DB0"/>
    <w:rsid w:val="00B2516B"/>
    <w:rsid w:val="00B26943"/>
    <w:rsid w:val="00B26CF1"/>
    <w:rsid w:val="00B278AD"/>
    <w:rsid w:val="00B319D3"/>
    <w:rsid w:val="00B31D52"/>
    <w:rsid w:val="00B32566"/>
    <w:rsid w:val="00B32913"/>
    <w:rsid w:val="00B3291C"/>
    <w:rsid w:val="00B338BA"/>
    <w:rsid w:val="00B3464B"/>
    <w:rsid w:val="00B348C2"/>
    <w:rsid w:val="00B35203"/>
    <w:rsid w:val="00B35679"/>
    <w:rsid w:val="00B37C58"/>
    <w:rsid w:val="00B404B7"/>
    <w:rsid w:val="00B41133"/>
    <w:rsid w:val="00B42DA7"/>
    <w:rsid w:val="00B43456"/>
    <w:rsid w:val="00B4475F"/>
    <w:rsid w:val="00B459E5"/>
    <w:rsid w:val="00B45A14"/>
    <w:rsid w:val="00B45B20"/>
    <w:rsid w:val="00B474EB"/>
    <w:rsid w:val="00B47ECB"/>
    <w:rsid w:val="00B50B3C"/>
    <w:rsid w:val="00B51459"/>
    <w:rsid w:val="00B51A6C"/>
    <w:rsid w:val="00B52626"/>
    <w:rsid w:val="00B5521A"/>
    <w:rsid w:val="00B555F1"/>
    <w:rsid w:val="00B55B81"/>
    <w:rsid w:val="00B57B1A"/>
    <w:rsid w:val="00B603DC"/>
    <w:rsid w:val="00B61093"/>
    <w:rsid w:val="00B633E3"/>
    <w:rsid w:val="00B652D7"/>
    <w:rsid w:val="00B65E2E"/>
    <w:rsid w:val="00B6752C"/>
    <w:rsid w:val="00B701F5"/>
    <w:rsid w:val="00B70905"/>
    <w:rsid w:val="00B71A18"/>
    <w:rsid w:val="00B72CD3"/>
    <w:rsid w:val="00B73A66"/>
    <w:rsid w:val="00B73BB3"/>
    <w:rsid w:val="00B81674"/>
    <w:rsid w:val="00B82E8A"/>
    <w:rsid w:val="00B85B62"/>
    <w:rsid w:val="00B85BDA"/>
    <w:rsid w:val="00B865FA"/>
    <w:rsid w:val="00B873F3"/>
    <w:rsid w:val="00B87C0A"/>
    <w:rsid w:val="00B91183"/>
    <w:rsid w:val="00B92CD8"/>
    <w:rsid w:val="00B932FF"/>
    <w:rsid w:val="00B953C2"/>
    <w:rsid w:val="00B96646"/>
    <w:rsid w:val="00B9759A"/>
    <w:rsid w:val="00BA08C8"/>
    <w:rsid w:val="00BA0AFC"/>
    <w:rsid w:val="00BA1BE5"/>
    <w:rsid w:val="00BA2675"/>
    <w:rsid w:val="00BA36E2"/>
    <w:rsid w:val="00BA396C"/>
    <w:rsid w:val="00BA564B"/>
    <w:rsid w:val="00BB0E49"/>
    <w:rsid w:val="00BB1047"/>
    <w:rsid w:val="00BB20A4"/>
    <w:rsid w:val="00BB3094"/>
    <w:rsid w:val="00BB32AB"/>
    <w:rsid w:val="00BB3B39"/>
    <w:rsid w:val="00BB4A52"/>
    <w:rsid w:val="00BB6BAC"/>
    <w:rsid w:val="00BC13E3"/>
    <w:rsid w:val="00BC27EE"/>
    <w:rsid w:val="00BC2F38"/>
    <w:rsid w:val="00BC4F31"/>
    <w:rsid w:val="00BC5EE0"/>
    <w:rsid w:val="00BC628A"/>
    <w:rsid w:val="00BC767C"/>
    <w:rsid w:val="00BD0D73"/>
    <w:rsid w:val="00BD1DE9"/>
    <w:rsid w:val="00BD2334"/>
    <w:rsid w:val="00BD4363"/>
    <w:rsid w:val="00BD5706"/>
    <w:rsid w:val="00BD5B89"/>
    <w:rsid w:val="00BD6445"/>
    <w:rsid w:val="00BD7221"/>
    <w:rsid w:val="00BE0F1F"/>
    <w:rsid w:val="00BE30F0"/>
    <w:rsid w:val="00BE5490"/>
    <w:rsid w:val="00BE5A67"/>
    <w:rsid w:val="00BE7FE5"/>
    <w:rsid w:val="00BF0072"/>
    <w:rsid w:val="00BF01AA"/>
    <w:rsid w:val="00BF2478"/>
    <w:rsid w:val="00BF5C38"/>
    <w:rsid w:val="00BF5FEB"/>
    <w:rsid w:val="00BF768E"/>
    <w:rsid w:val="00C000CA"/>
    <w:rsid w:val="00C0062E"/>
    <w:rsid w:val="00C01093"/>
    <w:rsid w:val="00C02F58"/>
    <w:rsid w:val="00C0334D"/>
    <w:rsid w:val="00C03974"/>
    <w:rsid w:val="00C04463"/>
    <w:rsid w:val="00C069F9"/>
    <w:rsid w:val="00C07BE1"/>
    <w:rsid w:val="00C07D8F"/>
    <w:rsid w:val="00C126AE"/>
    <w:rsid w:val="00C13138"/>
    <w:rsid w:val="00C13647"/>
    <w:rsid w:val="00C13B5B"/>
    <w:rsid w:val="00C145BB"/>
    <w:rsid w:val="00C15340"/>
    <w:rsid w:val="00C167A2"/>
    <w:rsid w:val="00C2130D"/>
    <w:rsid w:val="00C21B1B"/>
    <w:rsid w:val="00C2224C"/>
    <w:rsid w:val="00C22312"/>
    <w:rsid w:val="00C26CFE"/>
    <w:rsid w:val="00C300DE"/>
    <w:rsid w:val="00C30F53"/>
    <w:rsid w:val="00C31C5E"/>
    <w:rsid w:val="00C31F9F"/>
    <w:rsid w:val="00C3334D"/>
    <w:rsid w:val="00C33375"/>
    <w:rsid w:val="00C33952"/>
    <w:rsid w:val="00C33C2A"/>
    <w:rsid w:val="00C345FF"/>
    <w:rsid w:val="00C34A86"/>
    <w:rsid w:val="00C37B4F"/>
    <w:rsid w:val="00C41372"/>
    <w:rsid w:val="00C47AE0"/>
    <w:rsid w:val="00C47CF1"/>
    <w:rsid w:val="00C50DC3"/>
    <w:rsid w:val="00C51EA0"/>
    <w:rsid w:val="00C5289B"/>
    <w:rsid w:val="00C53EC5"/>
    <w:rsid w:val="00C55906"/>
    <w:rsid w:val="00C5681A"/>
    <w:rsid w:val="00C5794E"/>
    <w:rsid w:val="00C63364"/>
    <w:rsid w:val="00C640E5"/>
    <w:rsid w:val="00C64667"/>
    <w:rsid w:val="00C6745D"/>
    <w:rsid w:val="00C678EB"/>
    <w:rsid w:val="00C70014"/>
    <w:rsid w:val="00C71465"/>
    <w:rsid w:val="00C71BBC"/>
    <w:rsid w:val="00C724BD"/>
    <w:rsid w:val="00C726F2"/>
    <w:rsid w:val="00C74FD4"/>
    <w:rsid w:val="00C75C6E"/>
    <w:rsid w:val="00C75D0E"/>
    <w:rsid w:val="00C761A6"/>
    <w:rsid w:val="00C80BE3"/>
    <w:rsid w:val="00C80C48"/>
    <w:rsid w:val="00C83385"/>
    <w:rsid w:val="00C84065"/>
    <w:rsid w:val="00C84483"/>
    <w:rsid w:val="00C84936"/>
    <w:rsid w:val="00C866D2"/>
    <w:rsid w:val="00C923D9"/>
    <w:rsid w:val="00C94460"/>
    <w:rsid w:val="00C94C3F"/>
    <w:rsid w:val="00C9743E"/>
    <w:rsid w:val="00C97769"/>
    <w:rsid w:val="00CA01CB"/>
    <w:rsid w:val="00CA4787"/>
    <w:rsid w:val="00CA4D47"/>
    <w:rsid w:val="00CB06E8"/>
    <w:rsid w:val="00CB0809"/>
    <w:rsid w:val="00CB08BE"/>
    <w:rsid w:val="00CB2C00"/>
    <w:rsid w:val="00CB34B2"/>
    <w:rsid w:val="00CB42FA"/>
    <w:rsid w:val="00CB66BD"/>
    <w:rsid w:val="00CC065C"/>
    <w:rsid w:val="00CC0A80"/>
    <w:rsid w:val="00CC2240"/>
    <w:rsid w:val="00CC23BF"/>
    <w:rsid w:val="00CC2F96"/>
    <w:rsid w:val="00CC5FF7"/>
    <w:rsid w:val="00CC60D1"/>
    <w:rsid w:val="00CD0112"/>
    <w:rsid w:val="00CD13F9"/>
    <w:rsid w:val="00CD2454"/>
    <w:rsid w:val="00CD376C"/>
    <w:rsid w:val="00CD5210"/>
    <w:rsid w:val="00CD5DB3"/>
    <w:rsid w:val="00CE0064"/>
    <w:rsid w:val="00CE1343"/>
    <w:rsid w:val="00CE1D95"/>
    <w:rsid w:val="00CE1F8B"/>
    <w:rsid w:val="00CE5130"/>
    <w:rsid w:val="00CE6984"/>
    <w:rsid w:val="00CE6B11"/>
    <w:rsid w:val="00CE76EC"/>
    <w:rsid w:val="00CE7FA0"/>
    <w:rsid w:val="00CF4D86"/>
    <w:rsid w:val="00CF649D"/>
    <w:rsid w:val="00CF6C4F"/>
    <w:rsid w:val="00D015D6"/>
    <w:rsid w:val="00D05BD2"/>
    <w:rsid w:val="00D05F32"/>
    <w:rsid w:val="00D07807"/>
    <w:rsid w:val="00D10958"/>
    <w:rsid w:val="00D11584"/>
    <w:rsid w:val="00D1519F"/>
    <w:rsid w:val="00D15976"/>
    <w:rsid w:val="00D1621C"/>
    <w:rsid w:val="00D17199"/>
    <w:rsid w:val="00D1744C"/>
    <w:rsid w:val="00D17772"/>
    <w:rsid w:val="00D20D3C"/>
    <w:rsid w:val="00D214A1"/>
    <w:rsid w:val="00D24E5A"/>
    <w:rsid w:val="00D2795A"/>
    <w:rsid w:val="00D27FFA"/>
    <w:rsid w:val="00D30EF9"/>
    <w:rsid w:val="00D3115E"/>
    <w:rsid w:val="00D313B5"/>
    <w:rsid w:val="00D323E3"/>
    <w:rsid w:val="00D32AC2"/>
    <w:rsid w:val="00D37988"/>
    <w:rsid w:val="00D4089F"/>
    <w:rsid w:val="00D40C64"/>
    <w:rsid w:val="00D40EDD"/>
    <w:rsid w:val="00D41264"/>
    <w:rsid w:val="00D422D7"/>
    <w:rsid w:val="00D42658"/>
    <w:rsid w:val="00D43CB4"/>
    <w:rsid w:val="00D44568"/>
    <w:rsid w:val="00D4497C"/>
    <w:rsid w:val="00D44EAA"/>
    <w:rsid w:val="00D47D7A"/>
    <w:rsid w:val="00D50E36"/>
    <w:rsid w:val="00D52A56"/>
    <w:rsid w:val="00D52BC7"/>
    <w:rsid w:val="00D62395"/>
    <w:rsid w:val="00D628BE"/>
    <w:rsid w:val="00D70749"/>
    <w:rsid w:val="00D70762"/>
    <w:rsid w:val="00D70892"/>
    <w:rsid w:val="00D70ED1"/>
    <w:rsid w:val="00D71100"/>
    <w:rsid w:val="00D7163A"/>
    <w:rsid w:val="00D72A1F"/>
    <w:rsid w:val="00D731D5"/>
    <w:rsid w:val="00D736E4"/>
    <w:rsid w:val="00D7448A"/>
    <w:rsid w:val="00D74E77"/>
    <w:rsid w:val="00D75C9F"/>
    <w:rsid w:val="00D76BB9"/>
    <w:rsid w:val="00D77084"/>
    <w:rsid w:val="00D81674"/>
    <w:rsid w:val="00D81FA7"/>
    <w:rsid w:val="00D82920"/>
    <w:rsid w:val="00D8439D"/>
    <w:rsid w:val="00D8462A"/>
    <w:rsid w:val="00D85068"/>
    <w:rsid w:val="00D85204"/>
    <w:rsid w:val="00D909FB"/>
    <w:rsid w:val="00D90E7C"/>
    <w:rsid w:val="00D90F98"/>
    <w:rsid w:val="00D93519"/>
    <w:rsid w:val="00D9364F"/>
    <w:rsid w:val="00D945C3"/>
    <w:rsid w:val="00D969EC"/>
    <w:rsid w:val="00D97562"/>
    <w:rsid w:val="00DA0481"/>
    <w:rsid w:val="00DA31C4"/>
    <w:rsid w:val="00DA5DE4"/>
    <w:rsid w:val="00DA71E2"/>
    <w:rsid w:val="00DB0363"/>
    <w:rsid w:val="00DB3EED"/>
    <w:rsid w:val="00DB596B"/>
    <w:rsid w:val="00DB5C24"/>
    <w:rsid w:val="00DC189B"/>
    <w:rsid w:val="00DC1AFD"/>
    <w:rsid w:val="00DC2167"/>
    <w:rsid w:val="00DC2C2D"/>
    <w:rsid w:val="00DC37E8"/>
    <w:rsid w:val="00DC5324"/>
    <w:rsid w:val="00DC5F47"/>
    <w:rsid w:val="00DC6D48"/>
    <w:rsid w:val="00DD11CE"/>
    <w:rsid w:val="00DD2EFA"/>
    <w:rsid w:val="00DD3120"/>
    <w:rsid w:val="00DD3C80"/>
    <w:rsid w:val="00DD53B1"/>
    <w:rsid w:val="00DD637B"/>
    <w:rsid w:val="00DD75FD"/>
    <w:rsid w:val="00DE00F3"/>
    <w:rsid w:val="00DE3F0F"/>
    <w:rsid w:val="00DE518D"/>
    <w:rsid w:val="00DE5451"/>
    <w:rsid w:val="00DE5E95"/>
    <w:rsid w:val="00DE735B"/>
    <w:rsid w:val="00DF0097"/>
    <w:rsid w:val="00DF1F48"/>
    <w:rsid w:val="00DF28D2"/>
    <w:rsid w:val="00DF36F9"/>
    <w:rsid w:val="00DF375B"/>
    <w:rsid w:val="00DF5A1B"/>
    <w:rsid w:val="00DF6F6F"/>
    <w:rsid w:val="00DF7CB5"/>
    <w:rsid w:val="00E025E6"/>
    <w:rsid w:val="00E0396D"/>
    <w:rsid w:val="00E058FC"/>
    <w:rsid w:val="00E06733"/>
    <w:rsid w:val="00E0682A"/>
    <w:rsid w:val="00E06B3B"/>
    <w:rsid w:val="00E10510"/>
    <w:rsid w:val="00E128A5"/>
    <w:rsid w:val="00E13D62"/>
    <w:rsid w:val="00E13E13"/>
    <w:rsid w:val="00E16EE7"/>
    <w:rsid w:val="00E21E29"/>
    <w:rsid w:val="00E22AB6"/>
    <w:rsid w:val="00E2321D"/>
    <w:rsid w:val="00E23B2F"/>
    <w:rsid w:val="00E24DC3"/>
    <w:rsid w:val="00E27527"/>
    <w:rsid w:val="00E27A1F"/>
    <w:rsid w:val="00E32633"/>
    <w:rsid w:val="00E32AFB"/>
    <w:rsid w:val="00E32EAD"/>
    <w:rsid w:val="00E338EB"/>
    <w:rsid w:val="00E34EC2"/>
    <w:rsid w:val="00E357B4"/>
    <w:rsid w:val="00E35DD7"/>
    <w:rsid w:val="00E35E26"/>
    <w:rsid w:val="00E365DE"/>
    <w:rsid w:val="00E42220"/>
    <w:rsid w:val="00E43462"/>
    <w:rsid w:val="00E438ED"/>
    <w:rsid w:val="00E44556"/>
    <w:rsid w:val="00E4722D"/>
    <w:rsid w:val="00E4784B"/>
    <w:rsid w:val="00E47E1C"/>
    <w:rsid w:val="00E504EB"/>
    <w:rsid w:val="00E51FF4"/>
    <w:rsid w:val="00E536C6"/>
    <w:rsid w:val="00E57A95"/>
    <w:rsid w:val="00E63603"/>
    <w:rsid w:val="00E639C1"/>
    <w:rsid w:val="00E66116"/>
    <w:rsid w:val="00E664D5"/>
    <w:rsid w:val="00E66D6F"/>
    <w:rsid w:val="00E66F34"/>
    <w:rsid w:val="00E739EF"/>
    <w:rsid w:val="00E755E1"/>
    <w:rsid w:val="00E758DC"/>
    <w:rsid w:val="00E759EB"/>
    <w:rsid w:val="00E80685"/>
    <w:rsid w:val="00E8148F"/>
    <w:rsid w:val="00E81F23"/>
    <w:rsid w:val="00E82581"/>
    <w:rsid w:val="00E83319"/>
    <w:rsid w:val="00E857FE"/>
    <w:rsid w:val="00E86573"/>
    <w:rsid w:val="00E87279"/>
    <w:rsid w:val="00E87289"/>
    <w:rsid w:val="00E903CA"/>
    <w:rsid w:val="00E91B92"/>
    <w:rsid w:val="00E92653"/>
    <w:rsid w:val="00E92B05"/>
    <w:rsid w:val="00E93072"/>
    <w:rsid w:val="00E9317F"/>
    <w:rsid w:val="00E93D9D"/>
    <w:rsid w:val="00E93DC6"/>
    <w:rsid w:val="00E949F8"/>
    <w:rsid w:val="00E95040"/>
    <w:rsid w:val="00E95A12"/>
    <w:rsid w:val="00E96BA2"/>
    <w:rsid w:val="00E97B8F"/>
    <w:rsid w:val="00EA20B3"/>
    <w:rsid w:val="00EA2320"/>
    <w:rsid w:val="00EB0038"/>
    <w:rsid w:val="00EB030A"/>
    <w:rsid w:val="00EB12BB"/>
    <w:rsid w:val="00EB3F3A"/>
    <w:rsid w:val="00EB44A5"/>
    <w:rsid w:val="00EB4B31"/>
    <w:rsid w:val="00EB5485"/>
    <w:rsid w:val="00EB5BC5"/>
    <w:rsid w:val="00EB6125"/>
    <w:rsid w:val="00EB7700"/>
    <w:rsid w:val="00EC06AF"/>
    <w:rsid w:val="00EC0A3D"/>
    <w:rsid w:val="00EC4B86"/>
    <w:rsid w:val="00EC4DAC"/>
    <w:rsid w:val="00ED05EE"/>
    <w:rsid w:val="00ED0E22"/>
    <w:rsid w:val="00ED1F92"/>
    <w:rsid w:val="00ED399C"/>
    <w:rsid w:val="00ED7D79"/>
    <w:rsid w:val="00EE2CFB"/>
    <w:rsid w:val="00EE2F49"/>
    <w:rsid w:val="00EE3D52"/>
    <w:rsid w:val="00EE5802"/>
    <w:rsid w:val="00EE62F9"/>
    <w:rsid w:val="00EE7256"/>
    <w:rsid w:val="00EF0290"/>
    <w:rsid w:val="00EF0631"/>
    <w:rsid w:val="00EF08C2"/>
    <w:rsid w:val="00EF0EAD"/>
    <w:rsid w:val="00EF2168"/>
    <w:rsid w:val="00EF3186"/>
    <w:rsid w:val="00EF4021"/>
    <w:rsid w:val="00EF454E"/>
    <w:rsid w:val="00EF4781"/>
    <w:rsid w:val="00EF7254"/>
    <w:rsid w:val="00EF79AD"/>
    <w:rsid w:val="00F00D83"/>
    <w:rsid w:val="00F10514"/>
    <w:rsid w:val="00F12048"/>
    <w:rsid w:val="00F13D24"/>
    <w:rsid w:val="00F15B49"/>
    <w:rsid w:val="00F16C41"/>
    <w:rsid w:val="00F202B6"/>
    <w:rsid w:val="00F2064E"/>
    <w:rsid w:val="00F22147"/>
    <w:rsid w:val="00F22AE2"/>
    <w:rsid w:val="00F22DE4"/>
    <w:rsid w:val="00F2358B"/>
    <w:rsid w:val="00F241F8"/>
    <w:rsid w:val="00F25280"/>
    <w:rsid w:val="00F254D7"/>
    <w:rsid w:val="00F26822"/>
    <w:rsid w:val="00F276F0"/>
    <w:rsid w:val="00F30411"/>
    <w:rsid w:val="00F336AC"/>
    <w:rsid w:val="00F3457F"/>
    <w:rsid w:val="00F3459F"/>
    <w:rsid w:val="00F353F4"/>
    <w:rsid w:val="00F37058"/>
    <w:rsid w:val="00F37E11"/>
    <w:rsid w:val="00F40566"/>
    <w:rsid w:val="00F42BF4"/>
    <w:rsid w:val="00F44B82"/>
    <w:rsid w:val="00F45460"/>
    <w:rsid w:val="00F50239"/>
    <w:rsid w:val="00F51CBF"/>
    <w:rsid w:val="00F52468"/>
    <w:rsid w:val="00F53782"/>
    <w:rsid w:val="00F53B2D"/>
    <w:rsid w:val="00F54BDA"/>
    <w:rsid w:val="00F573AD"/>
    <w:rsid w:val="00F6087A"/>
    <w:rsid w:val="00F62146"/>
    <w:rsid w:val="00F71C99"/>
    <w:rsid w:val="00F72436"/>
    <w:rsid w:val="00F72AF1"/>
    <w:rsid w:val="00F751EC"/>
    <w:rsid w:val="00F7588A"/>
    <w:rsid w:val="00F760AB"/>
    <w:rsid w:val="00F77C8E"/>
    <w:rsid w:val="00F80869"/>
    <w:rsid w:val="00F814E5"/>
    <w:rsid w:val="00F81CAC"/>
    <w:rsid w:val="00F832E8"/>
    <w:rsid w:val="00F84147"/>
    <w:rsid w:val="00F84DC6"/>
    <w:rsid w:val="00F86AB5"/>
    <w:rsid w:val="00F8743D"/>
    <w:rsid w:val="00F8785D"/>
    <w:rsid w:val="00F909AD"/>
    <w:rsid w:val="00F918B3"/>
    <w:rsid w:val="00F93454"/>
    <w:rsid w:val="00F95282"/>
    <w:rsid w:val="00F95829"/>
    <w:rsid w:val="00F978A6"/>
    <w:rsid w:val="00FA4B3A"/>
    <w:rsid w:val="00FA67E1"/>
    <w:rsid w:val="00FA6833"/>
    <w:rsid w:val="00FB0B11"/>
    <w:rsid w:val="00FB10DB"/>
    <w:rsid w:val="00FB304D"/>
    <w:rsid w:val="00FB520E"/>
    <w:rsid w:val="00FB5A64"/>
    <w:rsid w:val="00FB5B23"/>
    <w:rsid w:val="00FB6D7A"/>
    <w:rsid w:val="00FB7104"/>
    <w:rsid w:val="00FB7305"/>
    <w:rsid w:val="00FC1969"/>
    <w:rsid w:val="00FC4D4C"/>
    <w:rsid w:val="00FC6309"/>
    <w:rsid w:val="00FC7BF9"/>
    <w:rsid w:val="00FC7C04"/>
    <w:rsid w:val="00FD2F8F"/>
    <w:rsid w:val="00FD3301"/>
    <w:rsid w:val="00FD35C2"/>
    <w:rsid w:val="00FD3FB6"/>
    <w:rsid w:val="00FD5918"/>
    <w:rsid w:val="00FD6FFE"/>
    <w:rsid w:val="00FE139F"/>
    <w:rsid w:val="00FE25EB"/>
    <w:rsid w:val="00FE4374"/>
    <w:rsid w:val="00FE49AC"/>
    <w:rsid w:val="00FE6B45"/>
    <w:rsid w:val="00FF0453"/>
    <w:rsid w:val="00FF0504"/>
    <w:rsid w:val="00FF1F23"/>
    <w:rsid w:val="00FF2198"/>
    <w:rsid w:val="00FF22D7"/>
    <w:rsid w:val="00FF3BCD"/>
    <w:rsid w:val="00FF4CB7"/>
    <w:rsid w:val="00FF63FD"/>
    <w:rsid w:val="00FF6EA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PlaceType"/>
  <w:smartTagType w:namespaceuri="urn:schemas-microsoft-com:office:smarttags" w:name="PlaceName"/>
  <w:smartTagType w:namespaceuri="urn:schemas-microsoft-com:office:smarttags" w:name="State"/>
  <w:smartTagType w:namespaceuri="urn:schemas-microsoft-com:office:smarttags" w:name="City"/>
  <w:smartTagType w:namespaceuri="urn:schemas-microsoft-com:office:smarttags" w:name="Street"/>
  <w:smartTagType w:namespaceuri="urn:schemas-microsoft-com:office:smarttags" w:name="address"/>
  <w:smartTagType w:namespaceuri="urn:schemas-microsoft-com:office:smarttags" w:name="place"/>
  <w:smartTagType w:namespaceuri="urn:schemas-microsoft-com:office:smarttags" w:name="country-region"/>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72A1F"/>
    <w:rPr>
      <w:sz w:val="24"/>
      <w:szCs w:val="24"/>
    </w:rPr>
  </w:style>
  <w:style w:type="paragraph" w:styleId="Heading1">
    <w:name w:val="heading 1"/>
    <w:basedOn w:val="Normal"/>
    <w:next w:val="Normal"/>
    <w:link w:val="Heading1Char"/>
    <w:uiPriority w:val="99"/>
    <w:qFormat/>
    <w:rsid w:val="00BA08C8"/>
    <w:pPr>
      <w:keepNext/>
      <w:spacing w:before="240" w:after="60"/>
      <w:outlineLvl w:val="0"/>
    </w:pPr>
    <w:rPr>
      <w:rFonts w:ascii="Cambria" w:hAnsi="Cambria"/>
      <w:b/>
      <w:bCs/>
      <w:kern w:val="32"/>
      <w:sz w:val="32"/>
      <w:szCs w:val="32"/>
    </w:rPr>
  </w:style>
  <w:style w:type="paragraph" w:styleId="Heading2">
    <w:name w:val="heading 2"/>
    <w:basedOn w:val="Normal"/>
    <w:next w:val="Normal"/>
    <w:link w:val="Heading2Char"/>
    <w:uiPriority w:val="99"/>
    <w:qFormat/>
    <w:rsid w:val="00BA08C8"/>
    <w:pPr>
      <w:keepNext/>
      <w:spacing w:before="240" w:after="60"/>
      <w:outlineLvl w:val="1"/>
    </w:pPr>
    <w:rPr>
      <w:rFonts w:ascii="Cambria" w:hAnsi="Cambria"/>
      <w:b/>
      <w:bCs/>
      <w:i/>
      <w:iCs/>
      <w:sz w:val="28"/>
      <w:szCs w:val="28"/>
    </w:rPr>
  </w:style>
  <w:style w:type="paragraph" w:styleId="Heading3">
    <w:name w:val="heading 3"/>
    <w:basedOn w:val="Normal"/>
    <w:next w:val="Normal"/>
    <w:link w:val="Heading3Char"/>
    <w:uiPriority w:val="99"/>
    <w:qFormat/>
    <w:rsid w:val="00BA08C8"/>
    <w:pPr>
      <w:keepNext/>
      <w:ind w:left="720" w:hanging="720"/>
      <w:outlineLvl w:val="2"/>
    </w:pPr>
    <w:rPr>
      <w:rFonts w:ascii="Cambria" w:hAnsi="Cambria"/>
      <w:b/>
      <w:bCs/>
      <w:sz w:val="26"/>
      <w:szCs w:val="26"/>
    </w:rPr>
  </w:style>
  <w:style w:type="paragraph" w:styleId="Heading4">
    <w:name w:val="heading 4"/>
    <w:basedOn w:val="Normal"/>
    <w:next w:val="Normal"/>
    <w:link w:val="Heading4Char"/>
    <w:uiPriority w:val="99"/>
    <w:qFormat/>
    <w:rsid w:val="00BA08C8"/>
    <w:pPr>
      <w:keepNext/>
      <w:jc w:val="center"/>
      <w:outlineLvl w:val="3"/>
    </w:pPr>
    <w:rPr>
      <w:rFonts w:ascii="Calibri" w:hAnsi="Calibri"/>
      <w:b/>
      <w:bCs/>
      <w:sz w:val="28"/>
      <w:szCs w:val="28"/>
    </w:rPr>
  </w:style>
  <w:style w:type="paragraph" w:styleId="Heading5">
    <w:name w:val="heading 5"/>
    <w:basedOn w:val="Normal"/>
    <w:next w:val="Normal"/>
    <w:link w:val="Heading5Char"/>
    <w:uiPriority w:val="99"/>
    <w:qFormat/>
    <w:rsid w:val="00BA08C8"/>
    <w:pPr>
      <w:keepNext/>
      <w:jc w:val="center"/>
      <w:outlineLvl w:val="4"/>
    </w:pPr>
    <w:rPr>
      <w:rFonts w:ascii="Calibri" w:hAnsi="Calibri"/>
      <w:b/>
      <w:bCs/>
      <w:i/>
      <w:iCs/>
      <w:sz w:val="26"/>
      <w:szCs w:val="26"/>
    </w:rPr>
  </w:style>
  <w:style w:type="paragraph" w:styleId="Heading6">
    <w:name w:val="heading 6"/>
    <w:basedOn w:val="Normal"/>
    <w:next w:val="Normal"/>
    <w:link w:val="Heading6Char"/>
    <w:uiPriority w:val="99"/>
    <w:qFormat/>
    <w:rsid w:val="00BA08C8"/>
    <w:pPr>
      <w:keepNext/>
      <w:ind w:left="720" w:hanging="720"/>
      <w:jc w:val="center"/>
      <w:outlineLvl w:val="5"/>
    </w:pPr>
    <w:rPr>
      <w:rFonts w:ascii="Calibri" w:hAnsi="Calibri"/>
      <w:b/>
      <w:bCs/>
      <w:sz w:val="20"/>
      <w:szCs w:val="20"/>
    </w:rPr>
  </w:style>
  <w:style w:type="paragraph" w:styleId="Heading7">
    <w:name w:val="heading 7"/>
    <w:basedOn w:val="Normal"/>
    <w:next w:val="Normal"/>
    <w:link w:val="Heading7Char"/>
    <w:uiPriority w:val="99"/>
    <w:qFormat/>
    <w:rsid w:val="00BA08C8"/>
    <w:pPr>
      <w:keepNext/>
      <w:outlineLvl w:val="6"/>
    </w:pPr>
    <w:rPr>
      <w:rFonts w:ascii="Calibri" w:hAnsi="Calibri"/>
    </w:rPr>
  </w:style>
  <w:style w:type="paragraph" w:styleId="Heading8">
    <w:name w:val="heading 8"/>
    <w:basedOn w:val="Normal"/>
    <w:next w:val="Normal"/>
    <w:link w:val="Heading8Char"/>
    <w:uiPriority w:val="99"/>
    <w:qFormat/>
    <w:rsid w:val="00BA08C8"/>
    <w:pPr>
      <w:keepNext/>
      <w:outlineLvl w:val="7"/>
    </w:pPr>
    <w:rPr>
      <w:rFonts w:ascii="Calibri" w:hAnsi="Calibri"/>
      <w:i/>
      <w:iCs/>
    </w:rPr>
  </w:style>
  <w:style w:type="paragraph" w:styleId="Heading9">
    <w:name w:val="heading 9"/>
    <w:basedOn w:val="Normal"/>
    <w:next w:val="Normal"/>
    <w:link w:val="Heading9Char"/>
    <w:uiPriority w:val="99"/>
    <w:qFormat/>
    <w:rsid w:val="00BA08C8"/>
    <w:pPr>
      <w:keepNext/>
      <w:spacing w:line="480" w:lineRule="auto"/>
      <w:jc w:val="center"/>
      <w:outlineLvl w:val="8"/>
    </w:pPr>
    <w:rPr>
      <w:rFonts w:ascii="Cambria" w:hAnsi="Cambria"/>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0E0EF8"/>
    <w:rPr>
      <w:rFonts w:ascii="Cambria" w:hAnsi="Cambria" w:cs="Cambria"/>
      <w:b/>
      <w:bCs/>
      <w:kern w:val="32"/>
      <w:sz w:val="32"/>
      <w:szCs w:val="32"/>
    </w:rPr>
  </w:style>
  <w:style w:type="character" w:customStyle="1" w:styleId="Heading2Char">
    <w:name w:val="Heading 2 Char"/>
    <w:link w:val="Heading2"/>
    <w:uiPriority w:val="99"/>
    <w:semiHidden/>
    <w:locked/>
    <w:rsid w:val="000E0EF8"/>
    <w:rPr>
      <w:rFonts w:ascii="Cambria" w:hAnsi="Cambria" w:cs="Cambria"/>
      <w:b/>
      <w:bCs/>
      <w:i/>
      <w:iCs/>
      <w:sz w:val="28"/>
      <w:szCs w:val="28"/>
    </w:rPr>
  </w:style>
  <w:style w:type="character" w:customStyle="1" w:styleId="Heading3Char">
    <w:name w:val="Heading 3 Char"/>
    <w:link w:val="Heading3"/>
    <w:uiPriority w:val="99"/>
    <w:semiHidden/>
    <w:locked/>
    <w:rsid w:val="000E0EF8"/>
    <w:rPr>
      <w:rFonts w:ascii="Cambria" w:hAnsi="Cambria" w:cs="Cambria"/>
      <w:b/>
      <w:bCs/>
      <w:sz w:val="26"/>
      <w:szCs w:val="26"/>
    </w:rPr>
  </w:style>
  <w:style w:type="character" w:customStyle="1" w:styleId="Heading4Char">
    <w:name w:val="Heading 4 Char"/>
    <w:link w:val="Heading4"/>
    <w:uiPriority w:val="99"/>
    <w:semiHidden/>
    <w:locked/>
    <w:rsid w:val="000E0EF8"/>
    <w:rPr>
      <w:rFonts w:ascii="Calibri" w:hAnsi="Calibri" w:cs="Calibri"/>
      <w:b/>
      <w:bCs/>
      <w:sz w:val="28"/>
      <w:szCs w:val="28"/>
    </w:rPr>
  </w:style>
  <w:style w:type="character" w:customStyle="1" w:styleId="Heading5Char">
    <w:name w:val="Heading 5 Char"/>
    <w:link w:val="Heading5"/>
    <w:uiPriority w:val="99"/>
    <w:semiHidden/>
    <w:locked/>
    <w:rsid w:val="000E0EF8"/>
    <w:rPr>
      <w:rFonts w:ascii="Calibri" w:hAnsi="Calibri" w:cs="Calibri"/>
      <w:b/>
      <w:bCs/>
      <w:i/>
      <w:iCs/>
      <w:sz w:val="26"/>
      <w:szCs w:val="26"/>
    </w:rPr>
  </w:style>
  <w:style w:type="character" w:customStyle="1" w:styleId="Heading6Char">
    <w:name w:val="Heading 6 Char"/>
    <w:link w:val="Heading6"/>
    <w:uiPriority w:val="99"/>
    <w:semiHidden/>
    <w:locked/>
    <w:rsid w:val="000E0EF8"/>
    <w:rPr>
      <w:rFonts w:ascii="Calibri" w:hAnsi="Calibri" w:cs="Calibri"/>
      <w:b/>
      <w:bCs/>
    </w:rPr>
  </w:style>
  <w:style w:type="character" w:customStyle="1" w:styleId="Heading7Char">
    <w:name w:val="Heading 7 Char"/>
    <w:link w:val="Heading7"/>
    <w:uiPriority w:val="99"/>
    <w:semiHidden/>
    <w:locked/>
    <w:rsid w:val="000E0EF8"/>
    <w:rPr>
      <w:rFonts w:ascii="Calibri" w:hAnsi="Calibri" w:cs="Calibri"/>
      <w:sz w:val="24"/>
      <w:szCs w:val="24"/>
    </w:rPr>
  </w:style>
  <w:style w:type="character" w:customStyle="1" w:styleId="Heading8Char">
    <w:name w:val="Heading 8 Char"/>
    <w:link w:val="Heading8"/>
    <w:uiPriority w:val="99"/>
    <w:semiHidden/>
    <w:locked/>
    <w:rsid w:val="000E0EF8"/>
    <w:rPr>
      <w:rFonts w:ascii="Calibri" w:hAnsi="Calibri" w:cs="Calibri"/>
      <w:i/>
      <w:iCs/>
      <w:sz w:val="24"/>
      <w:szCs w:val="24"/>
    </w:rPr>
  </w:style>
  <w:style w:type="character" w:customStyle="1" w:styleId="Heading9Char">
    <w:name w:val="Heading 9 Char"/>
    <w:link w:val="Heading9"/>
    <w:uiPriority w:val="99"/>
    <w:semiHidden/>
    <w:locked/>
    <w:rsid w:val="000E0EF8"/>
    <w:rPr>
      <w:rFonts w:ascii="Cambria" w:hAnsi="Cambria" w:cs="Cambria"/>
    </w:rPr>
  </w:style>
  <w:style w:type="paragraph" w:styleId="BalloonText">
    <w:name w:val="Balloon Text"/>
    <w:basedOn w:val="Normal"/>
    <w:link w:val="BalloonTextChar"/>
    <w:uiPriority w:val="99"/>
    <w:semiHidden/>
    <w:rsid w:val="00D72A1F"/>
    <w:rPr>
      <w:szCs w:val="2"/>
    </w:rPr>
  </w:style>
  <w:style w:type="character" w:customStyle="1" w:styleId="BalloonTextChar">
    <w:name w:val="Balloon Text Char"/>
    <w:link w:val="BalloonText"/>
    <w:uiPriority w:val="99"/>
    <w:semiHidden/>
    <w:locked/>
    <w:rsid w:val="00D72A1F"/>
    <w:rPr>
      <w:sz w:val="24"/>
      <w:szCs w:val="2"/>
    </w:rPr>
  </w:style>
  <w:style w:type="character" w:customStyle="1" w:styleId="QuickA">
    <w:name w:val="Quick A."/>
    <w:basedOn w:val="DefaultParagraphFont"/>
    <w:uiPriority w:val="99"/>
    <w:rsid w:val="00BA08C8"/>
  </w:style>
  <w:style w:type="paragraph" w:styleId="FootnoteText">
    <w:name w:val="footnote text"/>
    <w:basedOn w:val="Normal"/>
    <w:link w:val="FootnoteTextChar"/>
    <w:uiPriority w:val="99"/>
    <w:semiHidden/>
    <w:rsid w:val="00BA08C8"/>
    <w:rPr>
      <w:sz w:val="20"/>
      <w:szCs w:val="20"/>
    </w:rPr>
  </w:style>
  <w:style w:type="character" w:customStyle="1" w:styleId="FootnoteTextChar">
    <w:name w:val="Footnote Text Char"/>
    <w:link w:val="FootnoteText"/>
    <w:uiPriority w:val="99"/>
    <w:semiHidden/>
    <w:locked/>
    <w:rsid w:val="00203E15"/>
    <w:rPr>
      <w:lang w:val="en-US" w:eastAsia="en-US"/>
    </w:rPr>
  </w:style>
  <w:style w:type="character" w:styleId="FootnoteReference">
    <w:name w:val="footnote reference"/>
    <w:uiPriority w:val="99"/>
    <w:semiHidden/>
    <w:rsid w:val="00BA08C8"/>
    <w:rPr>
      <w:vertAlign w:val="superscript"/>
    </w:rPr>
  </w:style>
  <w:style w:type="paragraph" w:customStyle="1" w:styleId="RegMargin">
    <w:name w:val="Reg Margin"/>
    <w:basedOn w:val="Normal"/>
    <w:uiPriority w:val="99"/>
    <w:rsid w:val="00BA08C8"/>
  </w:style>
  <w:style w:type="paragraph" w:styleId="TOC1">
    <w:name w:val="toc 1"/>
    <w:basedOn w:val="Normal"/>
    <w:next w:val="Normal"/>
    <w:autoRedefine/>
    <w:uiPriority w:val="99"/>
    <w:semiHidden/>
    <w:rsid w:val="00BA08C8"/>
    <w:pPr>
      <w:spacing w:before="120" w:after="120"/>
    </w:pPr>
    <w:rPr>
      <w:b/>
      <w:bCs/>
      <w:caps/>
      <w:sz w:val="20"/>
      <w:szCs w:val="20"/>
    </w:rPr>
  </w:style>
  <w:style w:type="character" w:styleId="LineNumber">
    <w:name w:val="line number"/>
    <w:basedOn w:val="DefaultParagraphFont"/>
    <w:uiPriority w:val="99"/>
    <w:rsid w:val="00BA08C8"/>
  </w:style>
  <w:style w:type="paragraph" w:styleId="Header">
    <w:name w:val="header"/>
    <w:basedOn w:val="Normal"/>
    <w:link w:val="HeaderChar"/>
    <w:uiPriority w:val="99"/>
    <w:rsid w:val="00BA08C8"/>
    <w:pPr>
      <w:tabs>
        <w:tab w:val="center" w:pos="4320"/>
        <w:tab w:val="right" w:pos="8640"/>
      </w:tabs>
    </w:pPr>
  </w:style>
  <w:style w:type="character" w:customStyle="1" w:styleId="HeaderChar">
    <w:name w:val="Header Char"/>
    <w:link w:val="Header"/>
    <w:uiPriority w:val="99"/>
    <w:semiHidden/>
    <w:locked/>
    <w:rsid w:val="000E0EF8"/>
    <w:rPr>
      <w:sz w:val="24"/>
      <w:szCs w:val="24"/>
    </w:rPr>
  </w:style>
  <w:style w:type="paragraph" w:styleId="Footer">
    <w:name w:val="footer"/>
    <w:basedOn w:val="Normal"/>
    <w:link w:val="FooterChar"/>
    <w:uiPriority w:val="99"/>
    <w:rsid w:val="00BA08C8"/>
    <w:pPr>
      <w:tabs>
        <w:tab w:val="center" w:pos="4320"/>
        <w:tab w:val="right" w:pos="8640"/>
      </w:tabs>
    </w:pPr>
  </w:style>
  <w:style w:type="character" w:customStyle="1" w:styleId="FooterChar">
    <w:name w:val="Footer Char"/>
    <w:link w:val="Footer"/>
    <w:uiPriority w:val="99"/>
    <w:semiHidden/>
    <w:locked/>
    <w:rsid w:val="000E0EF8"/>
    <w:rPr>
      <w:sz w:val="24"/>
      <w:szCs w:val="24"/>
    </w:rPr>
  </w:style>
  <w:style w:type="character" w:styleId="PageNumber">
    <w:name w:val="page number"/>
    <w:basedOn w:val="DefaultParagraphFont"/>
    <w:uiPriority w:val="99"/>
    <w:rsid w:val="00BA08C8"/>
  </w:style>
  <w:style w:type="paragraph" w:styleId="BodyText2">
    <w:name w:val="Body Text 2"/>
    <w:basedOn w:val="Normal"/>
    <w:link w:val="BodyText2Char1"/>
    <w:uiPriority w:val="99"/>
    <w:rsid w:val="00BA08C8"/>
    <w:pPr>
      <w:spacing w:line="480" w:lineRule="auto"/>
      <w:ind w:left="720" w:hanging="720"/>
    </w:pPr>
  </w:style>
  <w:style w:type="character" w:customStyle="1" w:styleId="BodyText2Char">
    <w:name w:val="Body Text 2 Char"/>
    <w:uiPriority w:val="99"/>
    <w:semiHidden/>
    <w:locked/>
    <w:rsid w:val="00A05789"/>
    <w:rPr>
      <w:sz w:val="24"/>
      <w:szCs w:val="24"/>
    </w:rPr>
  </w:style>
  <w:style w:type="character" w:customStyle="1" w:styleId="BodyText2Char1">
    <w:name w:val="Body Text 2 Char1"/>
    <w:link w:val="BodyText2"/>
    <w:uiPriority w:val="99"/>
    <w:semiHidden/>
    <w:locked/>
    <w:rsid w:val="000E0EF8"/>
    <w:rPr>
      <w:sz w:val="24"/>
      <w:szCs w:val="24"/>
    </w:rPr>
  </w:style>
  <w:style w:type="paragraph" w:styleId="TOC3">
    <w:name w:val="toc 3"/>
    <w:basedOn w:val="Normal"/>
    <w:next w:val="Normal"/>
    <w:autoRedefine/>
    <w:uiPriority w:val="99"/>
    <w:semiHidden/>
    <w:rsid w:val="00BA08C8"/>
    <w:pPr>
      <w:ind w:left="480"/>
    </w:pPr>
  </w:style>
  <w:style w:type="paragraph" w:styleId="TOC2">
    <w:name w:val="toc 2"/>
    <w:basedOn w:val="Normal"/>
    <w:next w:val="Normal"/>
    <w:autoRedefine/>
    <w:uiPriority w:val="99"/>
    <w:semiHidden/>
    <w:rsid w:val="00BA08C8"/>
    <w:pPr>
      <w:ind w:left="240"/>
    </w:pPr>
  </w:style>
  <w:style w:type="paragraph" w:styleId="BodyTextIndent2">
    <w:name w:val="Body Text Indent 2"/>
    <w:basedOn w:val="Normal"/>
    <w:link w:val="BodyTextIndent2Char"/>
    <w:uiPriority w:val="99"/>
    <w:rsid w:val="00BA08C8"/>
    <w:pPr>
      <w:spacing w:line="480" w:lineRule="auto"/>
      <w:ind w:left="720" w:hanging="720"/>
    </w:pPr>
  </w:style>
  <w:style w:type="character" w:customStyle="1" w:styleId="BodyTextIndent2Char">
    <w:name w:val="Body Text Indent 2 Char"/>
    <w:link w:val="BodyTextIndent2"/>
    <w:uiPriority w:val="99"/>
    <w:semiHidden/>
    <w:locked/>
    <w:rsid w:val="000E0EF8"/>
    <w:rPr>
      <w:sz w:val="24"/>
      <w:szCs w:val="24"/>
    </w:rPr>
  </w:style>
  <w:style w:type="paragraph" w:styleId="BodyTextIndent3">
    <w:name w:val="Body Text Indent 3"/>
    <w:basedOn w:val="Normal"/>
    <w:link w:val="BodyTextIndent3Char"/>
    <w:uiPriority w:val="99"/>
    <w:rsid w:val="00BA08C8"/>
    <w:pPr>
      <w:ind w:left="1440"/>
    </w:pPr>
    <w:rPr>
      <w:sz w:val="16"/>
      <w:szCs w:val="16"/>
    </w:rPr>
  </w:style>
  <w:style w:type="character" w:customStyle="1" w:styleId="BodyTextIndent3Char">
    <w:name w:val="Body Text Indent 3 Char"/>
    <w:link w:val="BodyTextIndent3"/>
    <w:uiPriority w:val="99"/>
    <w:semiHidden/>
    <w:locked/>
    <w:rsid w:val="000E0EF8"/>
    <w:rPr>
      <w:sz w:val="16"/>
      <w:szCs w:val="16"/>
    </w:rPr>
  </w:style>
  <w:style w:type="character" w:styleId="Hyperlink">
    <w:name w:val="Hyperlink"/>
    <w:uiPriority w:val="99"/>
    <w:rsid w:val="00BA08C8"/>
    <w:rPr>
      <w:color w:val="0000FF"/>
      <w:u w:val="single"/>
    </w:rPr>
  </w:style>
  <w:style w:type="character" w:styleId="CommentReference">
    <w:name w:val="annotation reference"/>
    <w:uiPriority w:val="99"/>
    <w:semiHidden/>
    <w:rsid w:val="00BA08C8"/>
    <w:rPr>
      <w:sz w:val="16"/>
      <w:szCs w:val="16"/>
    </w:rPr>
  </w:style>
  <w:style w:type="paragraph" w:styleId="DocumentMap">
    <w:name w:val="Document Map"/>
    <w:basedOn w:val="Normal"/>
    <w:link w:val="DocumentMapChar"/>
    <w:uiPriority w:val="99"/>
    <w:semiHidden/>
    <w:rsid w:val="00BA08C8"/>
    <w:pPr>
      <w:shd w:val="clear" w:color="auto" w:fill="000080"/>
    </w:pPr>
    <w:rPr>
      <w:sz w:val="2"/>
      <w:szCs w:val="2"/>
    </w:rPr>
  </w:style>
  <w:style w:type="character" w:customStyle="1" w:styleId="DocumentMapChar">
    <w:name w:val="Document Map Char"/>
    <w:link w:val="DocumentMap"/>
    <w:uiPriority w:val="99"/>
    <w:semiHidden/>
    <w:locked/>
    <w:rsid w:val="000E0EF8"/>
    <w:rPr>
      <w:sz w:val="2"/>
      <w:szCs w:val="2"/>
    </w:rPr>
  </w:style>
  <w:style w:type="paragraph" w:styleId="CommentText">
    <w:name w:val="annotation text"/>
    <w:basedOn w:val="Normal"/>
    <w:link w:val="CommentTextChar"/>
    <w:uiPriority w:val="99"/>
    <w:semiHidden/>
    <w:rsid w:val="00BA08C8"/>
    <w:rPr>
      <w:sz w:val="20"/>
      <w:szCs w:val="20"/>
    </w:rPr>
  </w:style>
  <w:style w:type="character" w:customStyle="1" w:styleId="CommentTextChar">
    <w:name w:val="Comment Text Char"/>
    <w:link w:val="CommentText"/>
    <w:uiPriority w:val="99"/>
    <w:semiHidden/>
    <w:locked/>
    <w:rsid w:val="000E0EF8"/>
    <w:rPr>
      <w:sz w:val="20"/>
      <w:szCs w:val="20"/>
    </w:rPr>
  </w:style>
  <w:style w:type="paragraph" w:styleId="PlainText">
    <w:name w:val="Plain Text"/>
    <w:basedOn w:val="Normal"/>
    <w:link w:val="PlainTextChar"/>
    <w:uiPriority w:val="99"/>
    <w:rsid w:val="0094720F"/>
    <w:rPr>
      <w:rFonts w:ascii="Courier New" w:hAnsi="Courier New"/>
      <w:sz w:val="20"/>
      <w:szCs w:val="20"/>
    </w:rPr>
  </w:style>
  <w:style w:type="character" w:customStyle="1" w:styleId="PlainTextChar">
    <w:name w:val="Plain Text Char"/>
    <w:link w:val="PlainText"/>
    <w:uiPriority w:val="99"/>
    <w:semiHidden/>
    <w:locked/>
    <w:rsid w:val="000E0EF8"/>
    <w:rPr>
      <w:rFonts w:ascii="Courier New" w:hAnsi="Courier New" w:cs="Courier New"/>
      <w:sz w:val="20"/>
      <w:szCs w:val="20"/>
    </w:rPr>
  </w:style>
  <w:style w:type="paragraph" w:styleId="CommentSubject">
    <w:name w:val="annotation subject"/>
    <w:basedOn w:val="CommentText"/>
    <w:next w:val="CommentText"/>
    <w:link w:val="CommentSubjectChar"/>
    <w:uiPriority w:val="99"/>
    <w:semiHidden/>
    <w:rsid w:val="0012632F"/>
    <w:rPr>
      <w:b/>
      <w:bCs/>
    </w:rPr>
  </w:style>
  <w:style w:type="character" w:customStyle="1" w:styleId="CommentSubjectChar">
    <w:name w:val="Comment Subject Char"/>
    <w:link w:val="CommentSubject"/>
    <w:uiPriority w:val="99"/>
    <w:semiHidden/>
    <w:locked/>
    <w:rsid w:val="000E0EF8"/>
    <w:rPr>
      <w:b/>
      <w:bCs/>
      <w:sz w:val="20"/>
      <w:szCs w:val="20"/>
    </w:rPr>
  </w:style>
  <w:style w:type="table" w:styleId="TableGrid">
    <w:name w:val="Table Grid"/>
    <w:basedOn w:val="TableNormal"/>
    <w:uiPriority w:val="99"/>
    <w:rsid w:val="00E0396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Question">
    <w:name w:val="Question"/>
    <w:basedOn w:val="Normal"/>
    <w:uiPriority w:val="99"/>
    <w:rsid w:val="0054709B"/>
    <w:pPr>
      <w:numPr>
        <w:numId w:val="1"/>
      </w:numPr>
      <w:spacing w:line="480" w:lineRule="auto"/>
    </w:pPr>
    <w:rPr>
      <w:b/>
      <w:bCs/>
      <w:caps/>
    </w:rPr>
  </w:style>
  <w:style w:type="paragraph" w:customStyle="1" w:styleId="Response">
    <w:name w:val="Response"/>
    <w:basedOn w:val="Normal"/>
    <w:uiPriority w:val="99"/>
    <w:rsid w:val="0054709B"/>
    <w:pPr>
      <w:numPr>
        <w:numId w:val="2"/>
      </w:numPr>
      <w:spacing w:after="240" w:line="480" w:lineRule="auto"/>
    </w:pPr>
  </w:style>
  <w:style w:type="paragraph" w:styleId="BodyText">
    <w:name w:val="Body Text"/>
    <w:basedOn w:val="Normal"/>
    <w:link w:val="BodyTextChar"/>
    <w:uiPriority w:val="99"/>
    <w:rsid w:val="00D4089F"/>
    <w:pPr>
      <w:widowControl w:val="0"/>
      <w:spacing w:after="120"/>
    </w:pPr>
  </w:style>
  <w:style w:type="character" w:customStyle="1" w:styleId="BodyTextChar">
    <w:name w:val="Body Text Char"/>
    <w:link w:val="BodyText"/>
    <w:uiPriority w:val="99"/>
    <w:semiHidden/>
    <w:locked/>
    <w:rsid w:val="000E0EF8"/>
    <w:rPr>
      <w:sz w:val="24"/>
      <w:szCs w:val="24"/>
    </w:rPr>
  </w:style>
  <w:style w:type="paragraph" w:styleId="EndnoteText">
    <w:name w:val="endnote text"/>
    <w:basedOn w:val="Normal"/>
    <w:link w:val="EndnoteTextChar"/>
    <w:uiPriority w:val="99"/>
    <w:semiHidden/>
    <w:rsid w:val="00515DFD"/>
    <w:rPr>
      <w:sz w:val="20"/>
      <w:szCs w:val="20"/>
    </w:rPr>
  </w:style>
  <w:style w:type="character" w:customStyle="1" w:styleId="EndnoteTextChar">
    <w:name w:val="Endnote Text Char"/>
    <w:basedOn w:val="DefaultParagraphFont"/>
    <w:link w:val="EndnoteText"/>
    <w:uiPriority w:val="99"/>
    <w:semiHidden/>
    <w:locked/>
    <w:rsid w:val="00515DFD"/>
  </w:style>
  <w:style w:type="character" w:styleId="EndnoteReference">
    <w:name w:val="endnote reference"/>
    <w:uiPriority w:val="99"/>
    <w:semiHidden/>
    <w:rsid w:val="00515DFD"/>
    <w:rPr>
      <w:vertAlign w:val="superscript"/>
    </w:rPr>
  </w:style>
  <w:style w:type="paragraph" w:styleId="Revision">
    <w:name w:val="Revision"/>
    <w:hidden/>
    <w:uiPriority w:val="99"/>
    <w:semiHidden/>
    <w:rsid w:val="00C33375"/>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72A1F"/>
    <w:rPr>
      <w:sz w:val="24"/>
      <w:szCs w:val="24"/>
    </w:rPr>
  </w:style>
  <w:style w:type="paragraph" w:styleId="Heading1">
    <w:name w:val="heading 1"/>
    <w:basedOn w:val="Normal"/>
    <w:next w:val="Normal"/>
    <w:link w:val="Heading1Char"/>
    <w:uiPriority w:val="99"/>
    <w:qFormat/>
    <w:rsid w:val="00BA08C8"/>
    <w:pPr>
      <w:keepNext/>
      <w:spacing w:before="240" w:after="60"/>
      <w:outlineLvl w:val="0"/>
    </w:pPr>
    <w:rPr>
      <w:rFonts w:ascii="Cambria" w:hAnsi="Cambria"/>
      <w:b/>
      <w:bCs/>
      <w:kern w:val="32"/>
      <w:sz w:val="32"/>
      <w:szCs w:val="32"/>
    </w:rPr>
  </w:style>
  <w:style w:type="paragraph" w:styleId="Heading2">
    <w:name w:val="heading 2"/>
    <w:basedOn w:val="Normal"/>
    <w:next w:val="Normal"/>
    <w:link w:val="Heading2Char"/>
    <w:uiPriority w:val="99"/>
    <w:qFormat/>
    <w:rsid w:val="00BA08C8"/>
    <w:pPr>
      <w:keepNext/>
      <w:spacing w:before="240" w:after="60"/>
      <w:outlineLvl w:val="1"/>
    </w:pPr>
    <w:rPr>
      <w:rFonts w:ascii="Cambria" w:hAnsi="Cambria"/>
      <w:b/>
      <w:bCs/>
      <w:i/>
      <w:iCs/>
      <w:sz w:val="28"/>
      <w:szCs w:val="28"/>
    </w:rPr>
  </w:style>
  <w:style w:type="paragraph" w:styleId="Heading3">
    <w:name w:val="heading 3"/>
    <w:basedOn w:val="Normal"/>
    <w:next w:val="Normal"/>
    <w:link w:val="Heading3Char"/>
    <w:uiPriority w:val="99"/>
    <w:qFormat/>
    <w:rsid w:val="00BA08C8"/>
    <w:pPr>
      <w:keepNext/>
      <w:ind w:left="720" w:hanging="720"/>
      <w:outlineLvl w:val="2"/>
    </w:pPr>
    <w:rPr>
      <w:rFonts w:ascii="Cambria" w:hAnsi="Cambria"/>
      <w:b/>
      <w:bCs/>
      <w:sz w:val="26"/>
      <w:szCs w:val="26"/>
    </w:rPr>
  </w:style>
  <w:style w:type="paragraph" w:styleId="Heading4">
    <w:name w:val="heading 4"/>
    <w:basedOn w:val="Normal"/>
    <w:next w:val="Normal"/>
    <w:link w:val="Heading4Char"/>
    <w:uiPriority w:val="99"/>
    <w:qFormat/>
    <w:rsid w:val="00BA08C8"/>
    <w:pPr>
      <w:keepNext/>
      <w:jc w:val="center"/>
      <w:outlineLvl w:val="3"/>
    </w:pPr>
    <w:rPr>
      <w:rFonts w:ascii="Calibri" w:hAnsi="Calibri"/>
      <w:b/>
      <w:bCs/>
      <w:sz w:val="28"/>
      <w:szCs w:val="28"/>
    </w:rPr>
  </w:style>
  <w:style w:type="paragraph" w:styleId="Heading5">
    <w:name w:val="heading 5"/>
    <w:basedOn w:val="Normal"/>
    <w:next w:val="Normal"/>
    <w:link w:val="Heading5Char"/>
    <w:uiPriority w:val="99"/>
    <w:qFormat/>
    <w:rsid w:val="00BA08C8"/>
    <w:pPr>
      <w:keepNext/>
      <w:jc w:val="center"/>
      <w:outlineLvl w:val="4"/>
    </w:pPr>
    <w:rPr>
      <w:rFonts w:ascii="Calibri" w:hAnsi="Calibri"/>
      <w:b/>
      <w:bCs/>
      <w:i/>
      <w:iCs/>
      <w:sz w:val="26"/>
      <w:szCs w:val="26"/>
    </w:rPr>
  </w:style>
  <w:style w:type="paragraph" w:styleId="Heading6">
    <w:name w:val="heading 6"/>
    <w:basedOn w:val="Normal"/>
    <w:next w:val="Normal"/>
    <w:link w:val="Heading6Char"/>
    <w:uiPriority w:val="99"/>
    <w:qFormat/>
    <w:rsid w:val="00BA08C8"/>
    <w:pPr>
      <w:keepNext/>
      <w:ind w:left="720" w:hanging="720"/>
      <w:jc w:val="center"/>
      <w:outlineLvl w:val="5"/>
    </w:pPr>
    <w:rPr>
      <w:rFonts w:ascii="Calibri" w:hAnsi="Calibri"/>
      <w:b/>
      <w:bCs/>
      <w:sz w:val="20"/>
      <w:szCs w:val="20"/>
    </w:rPr>
  </w:style>
  <w:style w:type="paragraph" w:styleId="Heading7">
    <w:name w:val="heading 7"/>
    <w:basedOn w:val="Normal"/>
    <w:next w:val="Normal"/>
    <w:link w:val="Heading7Char"/>
    <w:uiPriority w:val="99"/>
    <w:qFormat/>
    <w:rsid w:val="00BA08C8"/>
    <w:pPr>
      <w:keepNext/>
      <w:outlineLvl w:val="6"/>
    </w:pPr>
    <w:rPr>
      <w:rFonts w:ascii="Calibri" w:hAnsi="Calibri"/>
    </w:rPr>
  </w:style>
  <w:style w:type="paragraph" w:styleId="Heading8">
    <w:name w:val="heading 8"/>
    <w:basedOn w:val="Normal"/>
    <w:next w:val="Normal"/>
    <w:link w:val="Heading8Char"/>
    <w:uiPriority w:val="99"/>
    <w:qFormat/>
    <w:rsid w:val="00BA08C8"/>
    <w:pPr>
      <w:keepNext/>
      <w:outlineLvl w:val="7"/>
    </w:pPr>
    <w:rPr>
      <w:rFonts w:ascii="Calibri" w:hAnsi="Calibri"/>
      <w:i/>
      <w:iCs/>
    </w:rPr>
  </w:style>
  <w:style w:type="paragraph" w:styleId="Heading9">
    <w:name w:val="heading 9"/>
    <w:basedOn w:val="Normal"/>
    <w:next w:val="Normal"/>
    <w:link w:val="Heading9Char"/>
    <w:uiPriority w:val="99"/>
    <w:qFormat/>
    <w:rsid w:val="00BA08C8"/>
    <w:pPr>
      <w:keepNext/>
      <w:spacing w:line="480" w:lineRule="auto"/>
      <w:jc w:val="center"/>
      <w:outlineLvl w:val="8"/>
    </w:pPr>
    <w:rPr>
      <w:rFonts w:ascii="Cambria" w:hAnsi="Cambria"/>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0E0EF8"/>
    <w:rPr>
      <w:rFonts w:ascii="Cambria" w:hAnsi="Cambria" w:cs="Cambria"/>
      <w:b/>
      <w:bCs/>
      <w:kern w:val="32"/>
      <w:sz w:val="32"/>
      <w:szCs w:val="32"/>
    </w:rPr>
  </w:style>
  <w:style w:type="character" w:customStyle="1" w:styleId="Heading2Char">
    <w:name w:val="Heading 2 Char"/>
    <w:link w:val="Heading2"/>
    <w:uiPriority w:val="99"/>
    <w:semiHidden/>
    <w:locked/>
    <w:rsid w:val="000E0EF8"/>
    <w:rPr>
      <w:rFonts w:ascii="Cambria" w:hAnsi="Cambria" w:cs="Cambria"/>
      <w:b/>
      <w:bCs/>
      <w:i/>
      <w:iCs/>
      <w:sz w:val="28"/>
      <w:szCs w:val="28"/>
    </w:rPr>
  </w:style>
  <w:style w:type="character" w:customStyle="1" w:styleId="Heading3Char">
    <w:name w:val="Heading 3 Char"/>
    <w:link w:val="Heading3"/>
    <w:uiPriority w:val="99"/>
    <w:semiHidden/>
    <w:locked/>
    <w:rsid w:val="000E0EF8"/>
    <w:rPr>
      <w:rFonts w:ascii="Cambria" w:hAnsi="Cambria" w:cs="Cambria"/>
      <w:b/>
      <w:bCs/>
      <w:sz w:val="26"/>
      <w:szCs w:val="26"/>
    </w:rPr>
  </w:style>
  <w:style w:type="character" w:customStyle="1" w:styleId="Heading4Char">
    <w:name w:val="Heading 4 Char"/>
    <w:link w:val="Heading4"/>
    <w:uiPriority w:val="99"/>
    <w:semiHidden/>
    <w:locked/>
    <w:rsid w:val="000E0EF8"/>
    <w:rPr>
      <w:rFonts w:ascii="Calibri" w:hAnsi="Calibri" w:cs="Calibri"/>
      <w:b/>
      <w:bCs/>
      <w:sz w:val="28"/>
      <w:szCs w:val="28"/>
    </w:rPr>
  </w:style>
  <w:style w:type="character" w:customStyle="1" w:styleId="Heading5Char">
    <w:name w:val="Heading 5 Char"/>
    <w:link w:val="Heading5"/>
    <w:uiPriority w:val="99"/>
    <w:semiHidden/>
    <w:locked/>
    <w:rsid w:val="000E0EF8"/>
    <w:rPr>
      <w:rFonts w:ascii="Calibri" w:hAnsi="Calibri" w:cs="Calibri"/>
      <w:b/>
      <w:bCs/>
      <w:i/>
      <w:iCs/>
      <w:sz w:val="26"/>
      <w:szCs w:val="26"/>
    </w:rPr>
  </w:style>
  <w:style w:type="character" w:customStyle="1" w:styleId="Heading6Char">
    <w:name w:val="Heading 6 Char"/>
    <w:link w:val="Heading6"/>
    <w:uiPriority w:val="99"/>
    <w:semiHidden/>
    <w:locked/>
    <w:rsid w:val="000E0EF8"/>
    <w:rPr>
      <w:rFonts w:ascii="Calibri" w:hAnsi="Calibri" w:cs="Calibri"/>
      <w:b/>
      <w:bCs/>
    </w:rPr>
  </w:style>
  <w:style w:type="character" w:customStyle="1" w:styleId="Heading7Char">
    <w:name w:val="Heading 7 Char"/>
    <w:link w:val="Heading7"/>
    <w:uiPriority w:val="99"/>
    <w:semiHidden/>
    <w:locked/>
    <w:rsid w:val="000E0EF8"/>
    <w:rPr>
      <w:rFonts w:ascii="Calibri" w:hAnsi="Calibri" w:cs="Calibri"/>
      <w:sz w:val="24"/>
      <w:szCs w:val="24"/>
    </w:rPr>
  </w:style>
  <w:style w:type="character" w:customStyle="1" w:styleId="Heading8Char">
    <w:name w:val="Heading 8 Char"/>
    <w:link w:val="Heading8"/>
    <w:uiPriority w:val="99"/>
    <w:semiHidden/>
    <w:locked/>
    <w:rsid w:val="000E0EF8"/>
    <w:rPr>
      <w:rFonts w:ascii="Calibri" w:hAnsi="Calibri" w:cs="Calibri"/>
      <w:i/>
      <w:iCs/>
      <w:sz w:val="24"/>
      <w:szCs w:val="24"/>
    </w:rPr>
  </w:style>
  <w:style w:type="character" w:customStyle="1" w:styleId="Heading9Char">
    <w:name w:val="Heading 9 Char"/>
    <w:link w:val="Heading9"/>
    <w:uiPriority w:val="99"/>
    <w:semiHidden/>
    <w:locked/>
    <w:rsid w:val="000E0EF8"/>
    <w:rPr>
      <w:rFonts w:ascii="Cambria" w:hAnsi="Cambria" w:cs="Cambria"/>
    </w:rPr>
  </w:style>
  <w:style w:type="paragraph" w:styleId="BalloonText">
    <w:name w:val="Balloon Text"/>
    <w:basedOn w:val="Normal"/>
    <w:link w:val="BalloonTextChar"/>
    <w:uiPriority w:val="99"/>
    <w:semiHidden/>
    <w:rsid w:val="00D72A1F"/>
    <w:rPr>
      <w:szCs w:val="2"/>
    </w:rPr>
  </w:style>
  <w:style w:type="character" w:customStyle="1" w:styleId="BalloonTextChar">
    <w:name w:val="Balloon Text Char"/>
    <w:link w:val="BalloonText"/>
    <w:uiPriority w:val="99"/>
    <w:semiHidden/>
    <w:locked/>
    <w:rsid w:val="00D72A1F"/>
    <w:rPr>
      <w:sz w:val="24"/>
      <w:szCs w:val="2"/>
    </w:rPr>
  </w:style>
  <w:style w:type="character" w:customStyle="1" w:styleId="QuickA">
    <w:name w:val="Quick A."/>
    <w:basedOn w:val="DefaultParagraphFont"/>
    <w:uiPriority w:val="99"/>
    <w:rsid w:val="00BA08C8"/>
  </w:style>
  <w:style w:type="paragraph" w:styleId="FootnoteText">
    <w:name w:val="footnote text"/>
    <w:basedOn w:val="Normal"/>
    <w:link w:val="FootnoteTextChar"/>
    <w:uiPriority w:val="99"/>
    <w:semiHidden/>
    <w:rsid w:val="00BA08C8"/>
    <w:rPr>
      <w:sz w:val="20"/>
      <w:szCs w:val="20"/>
    </w:rPr>
  </w:style>
  <w:style w:type="character" w:customStyle="1" w:styleId="FootnoteTextChar">
    <w:name w:val="Footnote Text Char"/>
    <w:link w:val="FootnoteText"/>
    <w:uiPriority w:val="99"/>
    <w:semiHidden/>
    <w:locked/>
    <w:rsid w:val="00203E15"/>
    <w:rPr>
      <w:lang w:val="en-US" w:eastAsia="en-US"/>
    </w:rPr>
  </w:style>
  <w:style w:type="character" w:styleId="FootnoteReference">
    <w:name w:val="footnote reference"/>
    <w:uiPriority w:val="99"/>
    <w:semiHidden/>
    <w:rsid w:val="00BA08C8"/>
    <w:rPr>
      <w:vertAlign w:val="superscript"/>
    </w:rPr>
  </w:style>
  <w:style w:type="paragraph" w:customStyle="1" w:styleId="RegMargin">
    <w:name w:val="Reg Margin"/>
    <w:basedOn w:val="Normal"/>
    <w:uiPriority w:val="99"/>
    <w:rsid w:val="00BA08C8"/>
  </w:style>
  <w:style w:type="paragraph" w:styleId="TOC1">
    <w:name w:val="toc 1"/>
    <w:basedOn w:val="Normal"/>
    <w:next w:val="Normal"/>
    <w:autoRedefine/>
    <w:uiPriority w:val="99"/>
    <w:semiHidden/>
    <w:rsid w:val="00BA08C8"/>
    <w:pPr>
      <w:spacing w:before="120" w:after="120"/>
    </w:pPr>
    <w:rPr>
      <w:b/>
      <w:bCs/>
      <w:caps/>
      <w:sz w:val="20"/>
      <w:szCs w:val="20"/>
    </w:rPr>
  </w:style>
  <w:style w:type="character" w:styleId="LineNumber">
    <w:name w:val="line number"/>
    <w:basedOn w:val="DefaultParagraphFont"/>
    <w:uiPriority w:val="99"/>
    <w:rsid w:val="00BA08C8"/>
  </w:style>
  <w:style w:type="paragraph" w:styleId="Header">
    <w:name w:val="header"/>
    <w:basedOn w:val="Normal"/>
    <w:link w:val="HeaderChar"/>
    <w:uiPriority w:val="99"/>
    <w:rsid w:val="00BA08C8"/>
    <w:pPr>
      <w:tabs>
        <w:tab w:val="center" w:pos="4320"/>
        <w:tab w:val="right" w:pos="8640"/>
      </w:tabs>
    </w:pPr>
  </w:style>
  <w:style w:type="character" w:customStyle="1" w:styleId="HeaderChar">
    <w:name w:val="Header Char"/>
    <w:link w:val="Header"/>
    <w:uiPriority w:val="99"/>
    <w:semiHidden/>
    <w:locked/>
    <w:rsid w:val="000E0EF8"/>
    <w:rPr>
      <w:sz w:val="24"/>
      <w:szCs w:val="24"/>
    </w:rPr>
  </w:style>
  <w:style w:type="paragraph" w:styleId="Footer">
    <w:name w:val="footer"/>
    <w:basedOn w:val="Normal"/>
    <w:link w:val="FooterChar"/>
    <w:uiPriority w:val="99"/>
    <w:rsid w:val="00BA08C8"/>
    <w:pPr>
      <w:tabs>
        <w:tab w:val="center" w:pos="4320"/>
        <w:tab w:val="right" w:pos="8640"/>
      </w:tabs>
    </w:pPr>
  </w:style>
  <w:style w:type="character" w:customStyle="1" w:styleId="FooterChar">
    <w:name w:val="Footer Char"/>
    <w:link w:val="Footer"/>
    <w:uiPriority w:val="99"/>
    <w:semiHidden/>
    <w:locked/>
    <w:rsid w:val="000E0EF8"/>
    <w:rPr>
      <w:sz w:val="24"/>
      <w:szCs w:val="24"/>
    </w:rPr>
  </w:style>
  <w:style w:type="character" w:styleId="PageNumber">
    <w:name w:val="page number"/>
    <w:basedOn w:val="DefaultParagraphFont"/>
    <w:uiPriority w:val="99"/>
    <w:rsid w:val="00BA08C8"/>
  </w:style>
  <w:style w:type="paragraph" w:styleId="BodyText2">
    <w:name w:val="Body Text 2"/>
    <w:basedOn w:val="Normal"/>
    <w:link w:val="BodyText2Char1"/>
    <w:uiPriority w:val="99"/>
    <w:rsid w:val="00BA08C8"/>
    <w:pPr>
      <w:spacing w:line="480" w:lineRule="auto"/>
      <w:ind w:left="720" w:hanging="720"/>
    </w:pPr>
  </w:style>
  <w:style w:type="character" w:customStyle="1" w:styleId="BodyText2Char">
    <w:name w:val="Body Text 2 Char"/>
    <w:uiPriority w:val="99"/>
    <w:semiHidden/>
    <w:locked/>
    <w:rsid w:val="00A05789"/>
    <w:rPr>
      <w:sz w:val="24"/>
      <w:szCs w:val="24"/>
    </w:rPr>
  </w:style>
  <w:style w:type="character" w:customStyle="1" w:styleId="BodyText2Char1">
    <w:name w:val="Body Text 2 Char1"/>
    <w:link w:val="BodyText2"/>
    <w:uiPriority w:val="99"/>
    <w:semiHidden/>
    <w:locked/>
    <w:rsid w:val="000E0EF8"/>
    <w:rPr>
      <w:sz w:val="24"/>
      <w:szCs w:val="24"/>
    </w:rPr>
  </w:style>
  <w:style w:type="paragraph" w:styleId="TOC3">
    <w:name w:val="toc 3"/>
    <w:basedOn w:val="Normal"/>
    <w:next w:val="Normal"/>
    <w:autoRedefine/>
    <w:uiPriority w:val="99"/>
    <w:semiHidden/>
    <w:rsid w:val="00BA08C8"/>
    <w:pPr>
      <w:ind w:left="480"/>
    </w:pPr>
  </w:style>
  <w:style w:type="paragraph" w:styleId="TOC2">
    <w:name w:val="toc 2"/>
    <w:basedOn w:val="Normal"/>
    <w:next w:val="Normal"/>
    <w:autoRedefine/>
    <w:uiPriority w:val="99"/>
    <w:semiHidden/>
    <w:rsid w:val="00BA08C8"/>
    <w:pPr>
      <w:ind w:left="240"/>
    </w:pPr>
  </w:style>
  <w:style w:type="paragraph" w:styleId="BodyTextIndent2">
    <w:name w:val="Body Text Indent 2"/>
    <w:basedOn w:val="Normal"/>
    <w:link w:val="BodyTextIndent2Char"/>
    <w:uiPriority w:val="99"/>
    <w:rsid w:val="00BA08C8"/>
    <w:pPr>
      <w:spacing w:line="480" w:lineRule="auto"/>
      <w:ind w:left="720" w:hanging="720"/>
    </w:pPr>
  </w:style>
  <w:style w:type="character" w:customStyle="1" w:styleId="BodyTextIndent2Char">
    <w:name w:val="Body Text Indent 2 Char"/>
    <w:link w:val="BodyTextIndent2"/>
    <w:uiPriority w:val="99"/>
    <w:semiHidden/>
    <w:locked/>
    <w:rsid w:val="000E0EF8"/>
    <w:rPr>
      <w:sz w:val="24"/>
      <w:szCs w:val="24"/>
    </w:rPr>
  </w:style>
  <w:style w:type="paragraph" w:styleId="BodyTextIndent3">
    <w:name w:val="Body Text Indent 3"/>
    <w:basedOn w:val="Normal"/>
    <w:link w:val="BodyTextIndent3Char"/>
    <w:uiPriority w:val="99"/>
    <w:rsid w:val="00BA08C8"/>
    <w:pPr>
      <w:ind w:left="1440"/>
    </w:pPr>
    <w:rPr>
      <w:sz w:val="16"/>
      <w:szCs w:val="16"/>
    </w:rPr>
  </w:style>
  <w:style w:type="character" w:customStyle="1" w:styleId="BodyTextIndent3Char">
    <w:name w:val="Body Text Indent 3 Char"/>
    <w:link w:val="BodyTextIndent3"/>
    <w:uiPriority w:val="99"/>
    <w:semiHidden/>
    <w:locked/>
    <w:rsid w:val="000E0EF8"/>
    <w:rPr>
      <w:sz w:val="16"/>
      <w:szCs w:val="16"/>
    </w:rPr>
  </w:style>
  <w:style w:type="character" w:styleId="Hyperlink">
    <w:name w:val="Hyperlink"/>
    <w:uiPriority w:val="99"/>
    <w:rsid w:val="00BA08C8"/>
    <w:rPr>
      <w:color w:val="0000FF"/>
      <w:u w:val="single"/>
    </w:rPr>
  </w:style>
  <w:style w:type="character" w:styleId="CommentReference">
    <w:name w:val="annotation reference"/>
    <w:uiPriority w:val="99"/>
    <w:semiHidden/>
    <w:rsid w:val="00BA08C8"/>
    <w:rPr>
      <w:sz w:val="16"/>
      <w:szCs w:val="16"/>
    </w:rPr>
  </w:style>
  <w:style w:type="paragraph" w:styleId="DocumentMap">
    <w:name w:val="Document Map"/>
    <w:basedOn w:val="Normal"/>
    <w:link w:val="DocumentMapChar"/>
    <w:uiPriority w:val="99"/>
    <w:semiHidden/>
    <w:rsid w:val="00BA08C8"/>
    <w:pPr>
      <w:shd w:val="clear" w:color="auto" w:fill="000080"/>
    </w:pPr>
    <w:rPr>
      <w:sz w:val="2"/>
      <w:szCs w:val="2"/>
    </w:rPr>
  </w:style>
  <w:style w:type="character" w:customStyle="1" w:styleId="DocumentMapChar">
    <w:name w:val="Document Map Char"/>
    <w:link w:val="DocumentMap"/>
    <w:uiPriority w:val="99"/>
    <w:semiHidden/>
    <w:locked/>
    <w:rsid w:val="000E0EF8"/>
    <w:rPr>
      <w:sz w:val="2"/>
      <w:szCs w:val="2"/>
    </w:rPr>
  </w:style>
  <w:style w:type="paragraph" w:styleId="CommentText">
    <w:name w:val="annotation text"/>
    <w:basedOn w:val="Normal"/>
    <w:link w:val="CommentTextChar"/>
    <w:uiPriority w:val="99"/>
    <w:semiHidden/>
    <w:rsid w:val="00BA08C8"/>
    <w:rPr>
      <w:sz w:val="20"/>
      <w:szCs w:val="20"/>
    </w:rPr>
  </w:style>
  <w:style w:type="character" w:customStyle="1" w:styleId="CommentTextChar">
    <w:name w:val="Comment Text Char"/>
    <w:link w:val="CommentText"/>
    <w:uiPriority w:val="99"/>
    <w:semiHidden/>
    <w:locked/>
    <w:rsid w:val="000E0EF8"/>
    <w:rPr>
      <w:sz w:val="20"/>
      <w:szCs w:val="20"/>
    </w:rPr>
  </w:style>
  <w:style w:type="paragraph" w:styleId="PlainText">
    <w:name w:val="Plain Text"/>
    <w:basedOn w:val="Normal"/>
    <w:link w:val="PlainTextChar"/>
    <w:uiPriority w:val="99"/>
    <w:rsid w:val="0094720F"/>
    <w:rPr>
      <w:rFonts w:ascii="Courier New" w:hAnsi="Courier New"/>
      <w:sz w:val="20"/>
      <w:szCs w:val="20"/>
    </w:rPr>
  </w:style>
  <w:style w:type="character" w:customStyle="1" w:styleId="PlainTextChar">
    <w:name w:val="Plain Text Char"/>
    <w:link w:val="PlainText"/>
    <w:uiPriority w:val="99"/>
    <w:semiHidden/>
    <w:locked/>
    <w:rsid w:val="000E0EF8"/>
    <w:rPr>
      <w:rFonts w:ascii="Courier New" w:hAnsi="Courier New" w:cs="Courier New"/>
      <w:sz w:val="20"/>
      <w:szCs w:val="20"/>
    </w:rPr>
  </w:style>
  <w:style w:type="paragraph" w:styleId="CommentSubject">
    <w:name w:val="annotation subject"/>
    <w:basedOn w:val="CommentText"/>
    <w:next w:val="CommentText"/>
    <w:link w:val="CommentSubjectChar"/>
    <w:uiPriority w:val="99"/>
    <w:semiHidden/>
    <w:rsid w:val="0012632F"/>
    <w:rPr>
      <w:b/>
      <w:bCs/>
    </w:rPr>
  </w:style>
  <w:style w:type="character" w:customStyle="1" w:styleId="CommentSubjectChar">
    <w:name w:val="Comment Subject Char"/>
    <w:link w:val="CommentSubject"/>
    <w:uiPriority w:val="99"/>
    <w:semiHidden/>
    <w:locked/>
    <w:rsid w:val="000E0EF8"/>
    <w:rPr>
      <w:b/>
      <w:bCs/>
      <w:sz w:val="20"/>
      <w:szCs w:val="20"/>
    </w:rPr>
  </w:style>
  <w:style w:type="table" w:styleId="TableGrid">
    <w:name w:val="Table Grid"/>
    <w:basedOn w:val="TableNormal"/>
    <w:uiPriority w:val="99"/>
    <w:rsid w:val="00E0396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Question">
    <w:name w:val="Question"/>
    <w:basedOn w:val="Normal"/>
    <w:uiPriority w:val="99"/>
    <w:rsid w:val="0054709B"/>
    <w:pPr>
      <w:numPr>
        <w:numId w:val="1"/>
      </w:numPr>
      <w:spacing w:line="480" w:lineRule="auto"/>
    </w:pPr>
    <w:rPr>
      <w:b/>
      <w:bCs/>
      <w:caps/>
    </w:rPr>
  </w:style>
  <w:style w:type="paragraph" w:customStyle="1" w:styleId="Response">
    <w:name w:val="Response"/>
    <w:basedOn w:val="Normal"/>
    <w:uiPriority w:val="99"/>
    <w:rsid w:val="0054709B"/>
    <w:pPr>
      <w:numPr>
        <w:numId w:val="2"/>
      </w:numPr>
      <w:spacing w:after="240" w:line="480" w:lineRule="auto"/>
    </w:pPr>
  </w:style>
  <w:style w:type="paragraph" w:styleId="BodyText">
    <w:name w:val="Body Text"/>
    <w:basedOn w:val="Normal"/>
    <w:link w:val="BodyTextChar"/>
    <w:uiPriority w:val="99"/>
    <w:rsid w:val="00D4089F"/>
    <w:pPr>
      <w:widowControl w:val="0"/>
      <w:spacing w:after="120"/>
    </w:pPr>
  </w:style>
  <w:style w:type="character" w:customStyle="1" w:styleId="BodyTextChar">
    <w:name w:val="Body Text Char"/>
    <w:link w:val="BodyText"/>
    <w:uiPriority w:val="99"/>
    <w:semiHidden/>
    <w:locked/>
    <w:rsid w:val="000E0EF8"/>
    <w:rPr>
      <w:sz w:val="24"/>
      <w:szCs w:val="24"/>
    </w:rPr>
  </w:style>
  <w:style w:type="paragraph" w:styleId="EndnoteText">
    <w:name w:val="endnote text"/>
    <w:basedOn w:val="Normal"/>
    <w:link w:val="EndnoteTextChar"/>
    <w:uiPriority w:val="99"/>
    <w:semiHidden/>
    <w:rsid w:val="00515DFD"/>
    <w:rPr>
      <w:sz w:val="20"/>
      <w:szCs w:val="20"/>
    </w:rPr>
  </w:style>
  <w:style w:type="character" w:customStyle="1" w:styleId="EndnoteTextChar">
    <w:name w:val="Endnote Text Char"/>
    <w:basedOn w:val="DefaultParagraphFont"/>
    <w:link w:val="EndnoteText"/>
    <w:uiPriority w:val="99"/>
    <w:semiHidden/>
    <w:locked/>
    <w:rsid w:val="00515DFD"/>
  </w:style>
  <w:style w:type="character" w:styleId="EndnoteReference">
    <w:name w:val="endnote reference"/>
    <w:uiPriority w:val="99"/>
    <w:semiHidden/>
    <w:rsid w:val="00515DFD"/>
    <w:rPr>
      <w:vertAlign w:val="superscript"/>
    </w:rPr>
  </w:style>
  <w:style w:type="paragraph" w:styleId="Revision">
    <w:name w:val="Revision"/>
    <w:hidden/>
    <w:uiPriority w:val="99"/>
    <w:semiHidden/>
    <w:rsid w:val="00C33375"/>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5883797">
      <w:bodyDiv w:val="1"/>
      <w:marLeft w:val="0"/>
      <w:marRight w:val="0"/>
      <w:marTop w:val="0"/>
      <w:marBottom w:val="0"/>
      <w:divBdr>
        <w:top w:val="none" w:sz="0" w:space="0" w:color="auto"/>
        <w:left w:val="none" w:sz="0" w:space="0" w:color="auto"/>
        <w:bottom w:val="none" w:sz="0" w:space="0" w:color="auto"/>
        <w:right w:val="none" w:sz="0" w:space="0" w:color="auto"/>
      </w:divBdr>
    </w:div>
    <w:div w:id="97336787">
      <w:bodyDiv w:val="1"/>
      <w:marLeft w:val="0"/>
      <w:marRight w:val="0"/>
      <w:marTop w:val="0"/>
      <w:marBottom w:val="0"/>
      <w:divBdr>
        <w:top w:val="none" w:sz="0" w:space="0" w:color="auto"/>
        <w:left w:val="none" w:sz="0" w:space="0" w:color="auto"/>
        <w:bottom w:val="none" w:sz="0" w:space="0" w:color="auto"/>
        <w:right w:val="none" w:sz="0" w:space="0" w:color="auto"/>
      </w:divBdr>
    </w:div>
    <w:div w:id="232084813">
      <w:bodyDiv w:val="1"/>
      <w:marLeft w:val="0"/>
      <w:marRight w:val="0"/>
      <w:marTop w:val="0"/>
      <w:marBottom w:val="0"/>
      <w:divBdr>
        <w:top w:val="none" w:sz="0" w:space="0" w:color="auto"/>
        <w:left w:val="none" w:sz="0" w:space="0" w:color="auto"/>
        <w:bottom w:val="none" w:sz="0" w:space="0" w:color="auto"/>
        <w:right w:val="none" w:sz="0" w:space="0" w:color="auto"/>
      </w:divBdr>
    </w:div>
    <w:div w:id="438067148">
      <w:bodyDiv w:val="1"/>
      <w:marLeft w:val="0"/>
      <w:marRight w:val="0"/>
      <w:marTop w:val="0"/>
      <w:marBottom w:val="0"/>
      <w:divBdr>
        <w:top w:val="none" w:sz="0" w:space="0" w:color="auto"/>
        <w:left w:val="none" w:sz="0" w:space="0" w:color="auto"/>
        <w:bottom w:val="none" w:sz="0" w:space="0" w:color="auto"/>
        <w:right w:val="none" w:sz="0" w:space="0" w:color="auto"/>
      </w:divBdr>
    </w:div>
    <w:div w:id="923758760">
      <w:bodyDiv w:val="1"/>
      <w:marLeft w:val="0"/>
      <w:marRight w:val="0"/>
      <w:marTop w:val="0"/>
      <w:marBottom w:val="0"/>
      <w:divBdr>
        <w:top w:val="none" w:sz="0" w:space="0" w:color="auto"/>
        <w:left w:val="none" w:sz="0" w:space="0" w:color="auto"/>
        <w:bottom w:val="none" w:sz="0" w:space="0" w:color="auto"/>
        <w:right w:val="none" w:sz="0" w:space="0" w:color="auto"/>
      </w:divBdr>
    </w:div>
    <w:div w:id="1312557169">
      <w:marLeft w:val="0"/>
      <w:marRight w:val="0"/>
      <w:marTop w:val="0"/>
      <w:marBottom w:val="0"/>
      <w:divBdr>
        <w:top w:val="none" w:sz="0" w:space="0" w:color="auto"/>
        <w:left w:val="none" w:sz="0" w:space="0" w:color="auto"/>
        <w:bottom w:val="none" w:sz="0" w:space="0" w:color="auto"/>
        <w:right w:val="none" w:sz="0" w:space="0" w:color="auto"/>
      </w:divBdr>
    </w:div>
    <w:div w:id="1312557170">
      <w:marLeft w:val="0"/>
      <w:marRight w:val="0"/>
      <w:marTop w:val="0"/>
      <w:marBottom w:val="0"/>
      <w:divBdr>
        <w:top w:val="none" w:sz="0" w:space="0" w:color="auto"/>
        <w:left w:val="none" w:sz="0" w:space="0" w:color="auto"/>
        <w:bottom w:val="none" w:sz="0" w:space="0" w:color="auto"/>
        <w:right w:val="none" w:sz="0" w:space="0" w:color="auto"/>
      </w:divBdr>
    </w:div>
    <w:div w:id="1312557171">
      <w:marLeft w:val="0"/>
      <w:marRight w:val="0"/>
      <w:marTop w:val="0"/>
      <w:marBottom w:val="0"/>
      <w:divBdr>
        <w:top w:val="none" w:sz="0" w:space="0" w:color="auto"/>
        <w:left w:val="none" w:sz="0" w:space="0" w:color="auto"/>
        <w:bottom w:val="none" w:sz="0" w:space="0" w:color="auto"/>
        <w:right w:val="none" w:sz="0" w:space="0" w:color="auto"/>
      </w:divBdr>
    </w:div>
    <w:div w:id="1312557172">
      <w:marLeft w:val="0"/>
      <w:marRight w:val="0"/>
      <w:marTop w:val="0"/>
      <w:marBottom w:val="0"/>
      <w:divBdr>
        <w:top w:val="none" w:sz="0" w:space="0" w:color="auto"/>
        <w:left w:val="none" w:sz="0" w:space="0" w:color="auto"/>
        <w:bottom w:val="none" w:sz="0" w:space="0" w:color="auto"/>
        <w:right w:val="none" w:sz="0" w:space="0" w:color="auto"/>
      </w:divBdr>
    </w:div>
    <w:div w:id="1312557173">
      <w:marLeft w:val="0"/>
      <w:marRight w:val="0"/>
      <w:marTop w:val="0"/>
      <w:marBottom w:val="0"/>
      <w:divBdr>
        <w:top w:val="none" w:sz="0" w:space="0" w:color="auto"/>
        <w:left w:val="none" w:sz="0" w:space="0" w:color="auto"/>
        <w:bottom w:val="none" w:sz="0" w:space="0" w:color="auto"/>
        <w:right w:val="none" w:sz="0" w:space="0" w:color="auto"/>
      </w:divBdr>
    </w:div>
    <w:div w:id="1312557174">
      <w:marLeft w:val="0"/>
      <w:marRight w:val="0"/>
      <w:marTop w:val="0"/>
      <w:marBottom w:val="0"/>
      <w:divBdr>
        <w:top w:val="none" w:sz="0" w:space="0" w:color="auto"/>
        <w:left w:val="none" w:sz="0" w:space="0" w:color="auto"/>
        <w:bottom w:val="none" w:sz="0" w:space="0" w:color="auto"/>
        <w:right w:val="none" w:sz="0" w:space="0" w:color="auto"/>
      </w:divBdr>
    </w:div>
    <w:div w:id="1312557175">
      <w:marLeft w:val="0"/>
      <w:marRight w:val="0"/>
      <w:marTop w:val="0"/>
      <w:marBottom w:val="0"/>
      <w:divBdr>
        <w:top w:val="none" w:sz="0" w:space="0" w:color="auto"/>
        <w:left w:val="none" w:sz="0" w:space="0" w:color="auto"/>
        <w:bottom w:val="none" w:sz="0" w:space="0" w:color="auto"/>
        <w:right w:val="none" w:sz="0" w:space="0" w:color="auto"/>
      </w:divBdr>
    </w:div>
    <w:div w:id="1312557176">
      <w:marLeft w:val="0"/>
      <w:marRight w:val="0"/>
      <w:marTop w:val="0"/>
      <w:marBottom w:val="0"/>
      <w:divBdr>
        <w:top w:val="none" w:sz="0" w:space="0" w:color="auto"/>
        <w:left w:val="none" w:sz="0" w:space="0" w:color="auto"/>
        <w:bottom w:val="none" w:sz="0" w:space="0" w:color="auto"/>
        <w:right w:val="none" w:sz="0" w:space="0" w:color="auto"/>
      </w:divBdr>
    </w:div>
    <w:div w:id="1312557177">
      <w:marLeft w:val="0"/>
      <w:marRight w:val="0"/>
      <w:marTop w:val="0"/>
      <w:marBottom w:val="0"/>
      <w:divBdr>
        <w:top w:val="none" w:sz="0" w:space="0" w:color="auto"/>
        <w:left w:val="none" w:sz="0" w:space="0" w:color="auto"/>
        <w:bottom w:val="none" w:sz="0" w:space="0" w:color="auto"/>
        <w:right w:val="none" w:sz="0" w:space="0" w:color="auto"/>
      </w:divBdr>
    </w:div>
    <w:div w:id="1312557178">
      <w:marLeft w:val="0"/>
      <w:marRight w:val="0"/>
      <w:marTop w:val="0"/>
      <w:marBottom w:val="0"/>
      <w:divBdr>
        <w:top w:val="none" w:sz="0" w:space="0" w:color="auto"/>
        <w:left w:val="none" w:sz="0" w:space="0" w:color="auto"/>
        <w:bottom w:val="none" w:sz="0" w:space="0" w:color="auto"/>
        <w:right w:val="none" w:sz="0" w:space="0" w:color="auto"/>
      </w:divBdr>
    </w:div>
    <w:div w:id="1312557179">
      <w:marLeft w:val="0"/>
      <w:marRight w:val="0"/>
      <w:marTop w:val="0"/>
      <w:marBottom w:val="0"/>
      <w:divBdr>
        <w:top w:val="none" w:sz="0" w:space="0" w:color="auto"/>
        <w:left w:val="none" w:sz="0" w:space="0" w:color="auto"/>
        <w:bottom w:val="none" w:sz="0" w:space="0" w:color="auto"/>
        <w:right w:val="none" w:sz="0" w:space="0" w:color="auto"/>
      </w:divBdr>
    </w:div>
    <w:div w:id="1312557180">
      <w:marLeft w:val="0"/>
      <w:marRight w:val="0"/>
      <w:marTop w:val="0"/>
      <w:marBottom w:val="0"/>
      <w:divBdr>
        <w:top w:val="none" w:sz="0" w:space="0" w:color="auto"/>
        <w:left w:val="none" w:sz="0" w:space="0" w:color="auto"/>
        <w:bottom w:val="none" w:sz="0" w:space="0" w:color="auto"/>
        <w:right w:val="none" w:sz="0" w:space="0" w:color="auto"/>
      </w:divBdr>
    </w:div>
    <w:div w:id="1312557181">
      <w:marLeft w:val="0"/>
      <w:marRight w:val="0"/>
      <w:marTop w:val="0"/>
      <w:marBottom w:val="0"/>
      <w:divBdr>
        <w:top w:val="none" w:sz="0" w:space="0" w:color="auto"/>
        <w:left w:val="none" w:sz="0" w:space="0" w:color="auto"/>
        <w:bottom w:val="none" w:sz="0" w:space="0" w:color="auto"/>
        <w:right w:val="none" w:sz="0" w:space="0" w:color="auto"/>
      </w:divBdr>
    </w:div>
    <w:div w:id="1312557182">
      <w:marLeft w:val="0"/>
      <w:marRight w:val="0"/>
      <w:marTop w:val="0"/>
      <w:marBottom w:val="0"/>
      <w:divBdr>
        <w:top w:val="none" w:sz="0" w:space="0" w:color="auto"/>
        <w:left w:val="none" w:sz="0" w:space="0" w:color="auto"/>
        <w:bottom w:val="none" w:sz="0" w:space="0" w:color="auto"/>
        <w:right w:val="none" w:sz="0" w:space="0" w:color="auto"/>
      </w:divBdr>
    </w:div>
    <w:div w:id="1312557183">
      <w:marLeft w:val="0"/>
      <w:marRight w:val="0"/>
      <w:marTop w:val="0"/>
      <w:marBottom w:val="0"/>
      <w:divBdr>
        <w:top w:val="none" w:sz="0" w:space="0" w:color="auto"/>
        <w:left w:val="none" w:sz="0" w:space="0" w:color="auto"/>
        <w:bottom w:val="none" w:sz="0" w:space="0" w:color="auto"/>
        <w:right w:val="none" w:sz="0" w:space="0" w:color="auto"/>
      </w:divBdr>
    </w:div>
    <w:div w:id="1312557184">
      <w:marLeft w:val="0"/>
      <w:marRight w:val="0"/>
      <w:marTop w:val="0"/>
      <w:marBottom w:val="0"/>
      <w:divBdr>
        <w:top w:val="none" w:sz="0" w:space="0" w:color="auto"/>
        <w:left w:val="none" w:sz="0" w:space="0" w:color="auto"/>
        <w:bottom w:val="none" w:sz="0" w:space="0" w:color="auto"/>
        <w:right w:val="none" w:sz="0" w:space="0" w:color="auto"/>
      </w:divBdr>
    </w:div>
    <w:div w:id="1312557185">
      <w:marLeft w:val="0"/>
      <w:marRight w:val="0"/>
      <w:marTop w:val="0"/>
      <w:marBottom w:val="0"/>
      <w:divBdr>
        <w:top w:val="none" w:sz="0" w:space="0" w:color="auto"/>
        <w:left w:val="none" w:sz="0" w:space="0" w:color="auto"/>
        <w:bottom w:val="none" w:sz="0" w:space="0" w:color="auto"/>
        <w:right w:val="none" w:sz="0" w:space="0" w:color="auto"/>
      </w:divBdr>
    </w:div>
    <w:div w:id="1312557186">
      <w:marLeft w:val="0"/>
      <w:marRight w:val="0"/>
      <w:marTop w:val="0"/>
      <w:marBottom w:val="0"/>
      <w:divBdr>
        <w:top w:val="none" w:sz="0" w:space="0" w:color="auto"/>
        <w:left w:val="none" w:sz="0" w:space="0" w:color="auto"/>
        <w:bottom w:val="none" w:sz="0" w:space="0" w:color="auto"/>
        <w:right w:val="none" w:sz="0" w:space="0" w:color="auto"/>
      </w:divBdr>
    </w:div>
    <w:div w:id="1312557187">
      <w:marLeft w:val="0"/>
      <w:marRight w:val="0"/>
      <w:marTop w:val="0"/>
      <w:marBottom w:val="0"/>
      <w:divBdr>
        <w:top w:val="none" w:sz="0" w:space="0" w:color="auto"/>
        <w:left w:val="none" w:sz="0" w:space="0" w:color="auto"/>
        <w:bottom w:val="none" w:sz="0" w:space="0" w:color="auto"/>
        <w:right w:val="none" w:sz="0" w:space="0" w:color="auto"/>
      </w:divBdr>
    </w:div>
    <w:div w:id="1312557188">
      <w:marLeft w:val="0"/>
      <w:marRight w:val="0"/>
      <w:marTop w:val="0"/>
      <w:marBottom w:val="0"/>
      <w:divBdr>
        <w:top w:val="none" w:sz="0" w:space="0" w:color="auto"/>
        <w:left w:val="none" w:sz="0" w:space="0" w:color="auto"/>
        <w:bottom w:val="none" w:sz="0" w:space="0" w:color="auto"/>
        <w:right w:val="none" w:sz="0" w:space="0" w:color="auto"/>
      </w:divBdr>
    </w:div>
    <w:div w:id="1691177090">
      <w:bodyDiv w:val="1"/>
      <w:marLeft w:val="0"/>
      <w:marRight w:val="0"/>
      <w:marTop w:val="0"/>
      <w:marBottom w:val="0"/>
      <w:divBdr>
        <w:top w:val="none" w:sz="0" w:space="0" w:color="auto"/>
        <w:left w:val="none" w:sz="0" w:space="0" w:color="auto"/>
        <w:bottom w:val="none" w:sz="0" w:space="0" w:color="auto"/>
        <w:right w:val="none" w:sz="0" w:space="0" w:color="auto"/>
      </w:divBdr>
    </w:div>
    <w:div w:id="21298575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686AA8-572B-480D-B472-41559F9FAE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27</Pages>
  <Words>4895</Words>
  <Characters>27908</Characters>
  <Application>Microsoft Office Word</Application>
  <DocSecurity>0</DocSecurity>
  <Lines>232</Lines>
  <Paragraphs>65</Paragraphs>
  <ScaleCrop>false</ScaleCrop>
  <HeadingPairs>
    <vt:vector size="2" baseType="variant">
      <vt:variant>
        <vt:lpstr>Title</vt:lpstr>
      </vt:variant>
      <vt:variant>
        <vt:i4>1</vt:i4>
      </vt:variant>
    </vt:vector>
  </HeadingPairs>
  <TitlesOfParts>
    <vt:vector size="1" baseType="lpstr">
      <vt:lpstr>Introduction</vt:lpstr>
    </vt:vector>
  </TitlesOfParts>
  <Company>Microsoft</Company>
  <LinksUpToDate>false</LinksUpToDate>
  <CharactersWithSpaces>32738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Introduction</dc:title>
  <dc:creator>RS;Randy Savage</dc:creator>
  <cp:lastModifiedBy>AnnMc</cp:lastModifiedBy>
  <cp:revision>2</cp:revision>
  <cp:lastPrinted>2015-11-12T20:02:00Z</cp:lastPrinted>
  <dcterms:created xsi:type="dcterms:W3CDTF">2015-11-12T20:03:00Z</dcterms:created>
  <dcterms:modified xsi:type="dcterms:W3CDTF">2015-11-12T20:03:00Z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AIL_MSG_ID1">
    <vt:lpwstr>UFAAvEwl4JN4QvxrBzfoc6XVrYnqzECfftuAov87NItuRs4q2BI+Q3UlifafprfZyrIRh8nPlYSuNn8f
nV1ZBwSgLCX7DKMrFalyau1/QFqZ8kZnwA35We6DmiKMoxQYq0tWGAS3CzwxxUaojYPtimQui4XJ
uYXLbHRJHX+A8MWV81TIM/u1ZFnJDNiXeSbFLQK1BTcir4+slwPkVb0m8PhaUySvn7DgsuulEyfO
o7hTrWNyWxeJIQVCs</vt:lpwstr>
  </property>
  <property fmtid="{D5CDD505-2E9C-101B-9397-08002B2CF9AE}" pid="4" name="MAIL_MSG_ID2">
    <vt:lpwstr>r1YQqoEVPCqyJpPu2vupkw02cgwWeh1v1j1ZIBM5SrvacBObF0iCZnG19pP
MHsFBEM3k9xYiozGRn0CHAylKRY=</vt:lpwstr>
  </property>
  <property fmtid="{D5CDD505-2E9C-101B-9397-08002B2CF9AE}" pid="5" name="RESPONSE_SENDER_NAME">
    <vt:lpwstr>sAAAE9kkUq3pEoKAhccKyghkloqvlK9qHuU/oBw4AdydXfU=</vt:lpwstr>
  </property>
  <property fmtid="{D5CDD505-2E9C-101B-9397-08002B2CF9AE}" pid="6" name="EMAIL_OWNER_ADDRESS">
    <vt:lpwstr>ABAAJXrvhtoYpC5K7NimHInvV1uWRIR1SN3Y8bVTR6WBi6RmrHWvfKLi4NgH8egcXTLV</vt:lpwstr>
  </property>
</Properties>
</file>